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生命科学与健康工程学院</w:t>
      </w:r>
    </w:p>
    <w:p>
      <w:pPr>
        <w:spacing w:line="580" w:lineRule="exact"/>
        <w:jc w:val="center"/>
        <w:rPr>
          <w:rFonts w:hint="eastAsia" w:ascii="方正小标宋简体" w:eastAsia="方正小标宋简体"/>
          <w:color w:val="FF0000"/>
          <w:sz w:val="44"/>
          <w:szCs w:val="44"/>
          <w:lang w:eastAsia="zh-CN"/>
        </w:rPr>
      </w:pPr>
      <w:r>
        <w:rPr>
          <w:rFonts w:hint="eastAsia" w:ascii="方正小标宋简体" w:eastAsia="方正小标宋简体"/>
          <w:color w:val="auto"/>
          <w:sz w:val="44"/>
          <w:szCs w:val="44"/>
        </w:rPr>
        <w:t>研究生国家奖学金评审细则</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修订</w:t>
      </w:r>
      <w:r>
        <w:rPr>
          <w:rFonts w:hint="eastAsia" w:ascii="方正小标宋简体" w:eastAsia="方正小标宋简体"/>
          <w:color w:val="FF0000"/>
          <w:sz w:val="44"/>
          <w:szCs w:val="44"/>
          <w:lang w:eastAsia="zh-CN"/>
        </w:rPr>
        <w:t>）</w:t>
      </w:r>
    </w:p>
    <w:p>
      <w:pPr>
        <w:spacing w:line="580" w:lineRule="exact"/>
        <w:jc w:val="center"/>
        <w:rPr>
          <w:rFonts w:hint="default" w:ascii="方正小标宋简体" w:eastAsia="方正小标宋简体"/>
          <w:color w:val="FF0000"/>
          <w:sz w:val="44"/>
          <w:szCs w:val="44"/>
          <w:lang w:val="en-US" w:eastAsia="zh-CN"/>
        </w:rPr>
      </w:pPr>
      <w:r>
        <w:rPr>
          <w:rFonts w:hint="eastAsia" w:ascii="方正小标宋简体" w:eastAsia="方正小标宋简体"/>
          <w:color w:val="FF0000"/>
          <w:sz w:val="44"/>
          <w:szCs w:val="44"/>
          <w:lang w:val="en-US" w:eastAsia="zh-CN"/>
        </w:rPr>
        <w:t>征求意见稿</w:t>
      </w:r>
      <w:bookmarkStart w:id="0" w:name="_GoBack"/>
      <w:bookmarkEnd w:id="0"/>
    </w:p>
    <w:p>
      <w:pPr>
        <w:adjustRightInd w:val="0"/>
        <w:snapToGrid w:val="0"/>
        <w:spacing w:line="580" w:lineRule="exact"/>
        <w:jc w:val="center"/>
        <w:rPr>
          <w:rFonts w:ascii="黑体" w:eastAsia="黑体"/>
          <w:color w:val="auto"/>
          <w:sz w:val="32"/>
          <w:szCs w:val="32"/>
        </w:rPr>
      </w:pPr>
      <w:r>
        <w:rPr>
          <w:rFonts w:hint="eastAsia" w:ascii="黑体" w:eastAsia="黑体"/>
          <w:color w:val="auto"/>
          <w:sz w:val="32"/>
          <w:szCs w:val="32"/>
        </w:rPr>
        <w:t>第一章 总则</w:t>
      </w:r>
    </w:p>
    <w:p>
      <w:pPr>
        <w:spacing w:line="58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第一条</w:t>
      </w:r>
      <w:r>
        <w:rPr>
          <w:rFonts w:hint="eastAsia" w:ascii="仿宋_GB2312" w:eastAsia="仿宋_GB2312"/>
          <w:color w:val="auto"/>
          <w:sz w:val="32"/>
          <w:szCs w:val="32"/>
        </w:rPr>
        <w:t xml:space="preserve"> 为进一步做好研究生国家奖学金评审工作，保证评审工作公开、公平、公正、依法依章开展，确保评审质量和评审结果的权威性，根据《河北工业大学研究生国家奖学金评审办法》（河北工大〔2018〕173 号），结合我院实际，制定本细则。</w:t>
      </w:r>
    </w:p>
    <w:p>
      <w:pPr>
        <w:spacing w:line="580" w:lineRule="exact"/>
        <w:ind w:firstLine="643" w:firstLineChars="200"/>
        <w:jc w:val="left"/>
        <w:rPr>
          <w:rFonts w:ascii="仿宋_GB2312" w:eastAsia="仿宋_GB2312"/>
          <w:color w:val="auto"/>
          <w:sz w:val="32"/>
          <w:szCs w:val="32"/>
        </w:rPr>
      </w:pPr>
      <w:r>
        <w:rPr>
          <w:rFonts w:hint="eastAsia" w:ascii="仿宋_GB2312" w:eastAsia="仿宋_GB2312"/>
          <w:b/>
          <w:bCs/>
          <w:color w:val="auto"/>
          <w:sz w:val="32"/>
          <w:szCs w:val="32"/>
        </w:rPr>
        <w:t>第二条</w:t>
      </w:r>
      <w:r>
        <w:rPr>
          <w:rFonts w:hint="eastAsia" w:ascii="仿宋_GB2312" w:eastAsia="仿宋_GB2312"/>
          <w:b/>
          <w:color w:val="auto"/>
          <w:sz w:val="32"/>
          <w:szCs w:val="32"/>
        </w:rPr>
        <w:t xml:space="preserve"> </w:t>
      </w:r>
      <w:r>
        <w:rPr>
          <w:rFonts w:hint="eastAsia" w:ascii="FangSong_GB2312" w:hAnsi="FangSong_GB2312" w:eastAsia="FangSong_GB2312" w:cs="FangSong_GB2312"/>
          <w:color w:val="auto"/>
          <w:sz w:val="32"/>
          <w:szCs w:val="32"/>
        </w:rPr>
        <w:t>本细则所指研究生是指我院纳入全国研究生招生计划的全日制非定向研究生（档案转入我校且无固定工资收入）。获得奖励的研究生须具有中华人民共和国国籍。</w:t>
      </w:r>
    </w:p>
    <w:p>
      <w:pPr>
        <w:spacing w:line="58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第三条</w:t>
      </w:r>
      <w:r>
        <w:rPr>
          <w:rFonts w:hint="eastAsia" w:ascii="仿宋_GB2312" w:eastAsia="仿宋_GB2312"/>
          <w:color w:val="auto"/>
          <w:sz w:val="32"/>
          <w:szCs w:val="32"/>
        </w:rPr>
        <w:t xml:space="preserve"> 在学制期限基本修业年限内，因国家和单位公派出国留学或校际交流在境外学习的研究生，仍具备研究生国家奖学金参评资格（基本修业年限为录取时学校规定的基本修业年限）。</w:t>
      </w:r>
    </w:p>
    <w:p>
      <w:pPr>
        <w:adjustRightInd w:val="0"/>
        <w:snapToGrid w:val="0"/>
        <w:spacing w:line="580" w:lineRule="exact"/>
        <w:jc w:val="center"/>
        <w:rPr>
          <w:rFonts w:ascii="黑体" w:eastAsia="黑体"/>
          <w:color w:val="auto"/>
          <w:sz w:val="32"/>
          <w:szCs w:val="32"/>
        </w:rPr>
      </w:pPr>
      <w:r>
        <w:rPr>
          <w:rFonts w:hint="eastAsia" w:ascii="黑体" w:eastAsia="黑体"/>
          <w:color w:val="auto"/>
          <w:sz w:val="32"/>
          <w:szCs w:val="32"/>
        </w:rPr>
        <w:t>第二章 评审机构与职责</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bidi="ar"/>
        </w:rPr>
        <w:t>第四条</w:t>
      </w:r>
      <w:r>
        <w:rPr>
          <w:rFonts w:hint="eastAsia" w:ascii="仿宋_GB2312" w:hAnsi="仿宋_GB2312" w:eastAsia="仿宋_GB2312" w:cs="仿宋_GB2312"/>
          <w:color w:val="auto"/>
          <w:kern w:val="2"/>
          <w:sz w:val="32"/>
          <w:szCs w:val="32"/>
          <w:lang w:bidi="ar"/>
        </w:rPr>
        <w:t xml:space="preserve"> 学院研究生国家奖学金评审委员会人员构成：</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主任委员：党委书记、院长</w:t>
      </w:r>
    </w:p>
    <w:p>
      <w:pPr>
        <w:spacing w:line="580" w:lineRule="exact"/>
        <w:ind w:firstLine="56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0"/>
          <w:sz w:val="32"/>
          <w:szCs w:val="32"/>
        </w:rPr>
        <w:t>副主任委员：</w:t>
      </w:r>
      <w:r>
        <w:rPr>
          <w:rFonts w:hint="eastAsia" w:ascii="仿宋_GB2312" w:hAnsi="仿宋_GB2312" w:eastAsia="仿宋_GB2312" w:cs="仿宋_GB2312"/>
          <w:color w:val="auto"/>
          <w:sz w:val="32"/>
          <w:szCs w:val="32"/>
        </w:rPr>
        <w:t>党委副书记、副院长</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委员：研究生导师代表、研究生教务人员、研究生辅导员、学生代表</w:t>
      </w:r>
    </w:p>
    <w:p>
      <w:pPr>
        <w:spacing w:line="580" w:lineRule="exact"/>
        <w:ind w:firstLine="643" w:firstLineChars="200"/>
        <w:rPr>
          <w:rFonts w:ascii="仿宋_GB2312" w:hAnsi="黑体" w:eastAsia="仿宋_GB2312"/>
          <w:color w:val="auto"/>
          <w:sz w:val="32"/>
          <w:szCs w:val="32"/>
        </w:rPr>
      </w:pPr>
      <w:r>
        <w:rPr>
          <w:rFonts w:hint="eastAsia" w:ascii="仿宋_GB2312" w:hAnsi="仿宋_GB2312" w:eastAsia="仿宋_GB2312" w:cs="仿宋_GB2312"/>
          <w:b/>
          <w:color w:val="auto"/>
          <w:kern w:val="2"/>
          <w:sz w:val="32"/>
          <w:szCs w:val="32"/>
          <w:lang w:bidi="ar"/>
        </w:rPr>
        <w:t>第五条</w:t>
      </w:r>
      <w:r>
        <w:rPr>
          <w:rFonts w:hint="eastAsia" w:ascii="仿宋_GB2312" w:hAnsi="仿宋_GB2312" w:eastAsia="仿宋_GB2312" w:cs="仿宋_GB2312"/>
          <w:color w:val="auto"/>
          <w:kern w:val="2"/>
          <w:sz w:val="32"/>
          <w:szCs w:val="32"/>
          <w:lang w:bidi="ar"/>
        </w:rPr>
        <w:t xml:space="preserve"> 学院研究生国家奖学金评审委员会负责制</w:t>
      </w:r>
      <w:r>
        <w:rPr>
          <w:rFonts w:hint="eastAsia" w:ascii="仿宋_GB2312" w:hAnsi="仿宋_GB2312" w:eastAsia="仿宋_GB2312" w:cs="仿宋_GB2312"/>
          <w:b w:val="0"/>
          <w:bCs w:val="0"/>
          <w:color w:val="auto"/>
          <w:kern w:val="2"/>
          <w:sz w:val="32"/>
          <w:szCs w:val="32"/>
          <w:lang w:bidi="ar"/>
        </w:rPr>
        <w:t>定</w:t>
      </w:r>
      <w:r>
        <w:rPr>
          <w:rFonts w:hint="eastAsia" w:ascii="仿宋_GB2312" w:hAnsi="仿宋_GB2312" w:eastAsia="仿宋_GB2312" w:cs="仿宋_GB2312"/>
          <w:b w:val="0"/>
          <w:bCs w:val="0"/>
          <w:color w:val="auto"/>
          <w:kern w:val="2"/>
          <w:sz w:val="32"/>
          <w:szCs w:val="32"/>
          <w:lang w:eastAsia="zh-CN" w:bidi="ar"/>
        </w:rPr>
        <w:t>、</w:t>
      </w:r>
      <w:r>
        <w:rPr>
          <w:rFonts w:hint="eastAsia" w:ascii="仿宋_GB2312" w:hAnsi="仿宋_GB2312" w:eastAsia="仿宋_GB2312" w:cs="仿宋_GB2312"/>
          <w:b w:val="0"/>
          <w:bCs w:val="0"/>
          <w:color w:val="auto"/>
          <w:kern w:val="2"/>
          <w:sz w:val="32"/>
          <w:szCs w:val="32"/>
          <w:lang w:val="en-US" w:eastAsia="zh-CN" w:bidi="ar"/>
        </w:rPr>
        <w:t>修改</w:t>
      </w:r>
      <w:r>
        <w:rPr>
          <w:rFonts w:hint="eastAsia" w:ascii="仿宋_GB2312" w:hAnsi="仿宋_GB2312" w:eastAsia="仿宋_GB2312" w:cs="仿宋_GB2312"/>
          <w:b w:val="0"/>
          <w:bCs w:val="0"/>
          <w:color w:val="auto"/>
          <w:kern w:val="2"/>
          <w:sz w:val="32"/>
          <w:szCs w:val="32"/>
          <w:lang w:bidi="ar"/>
        </w:rPr>
        <w:t>本学院研究生国家奖学金评审实施细则，</w:t>
      </w:r>
      <w:r>
        <w:rPr>
          <w:rFonts w:hint="eastAsia" w:ascii="仿宋_GB2312" w:hAnsi="仿宋_GB2312" w:eastAsia="仿宋_GB2312" w:cs="仿宋_GB2312"/>
          <w:b w:val="0"/>
          <w:bCs w:val="0"/>
          <w:color w:val="auto"/>
          <w:kern w:val="2"/>
          <w:sz w:val="32"/>
          <w:szCs w:val="32"/>
          <w:lang w:val="en-US" w:eastAsia="zh-CN" w:bidi="ar"/>
        </w:rPr>
        <w:t>领导评审工作</w:t>
      </w:r>
      <w:r>
        <w:rPr>
          <w:rFonts w:hint="eastAsia" w:ascii="仿宋_GB2312" w:hAnsi="仿宋_GB2312" w:eastAsia="仿宋_GB2312" w:cs="仿宋_GB2312"/>
          <w:b w:val="0"/>
          <w:bCs w:val="0"/>
          <w:color w:val="auto"/>
          <w:kern w:val="2"/>
          <w:sz w:val="32"/>
          <w:szCs w:val="32"/>
          <w:lang w:bidi="ar"/>
        </w:rPr>
        <w:t>等。</w:t>
      </w:r>
    </w:p>
    <w:p>
      <w:pPr>
        <w:adjustRightInd w:val="0"/>
        <w:snapToGrid w:val="0"/>
        <w:spacing w:line="580" w:lineRule="exact"/>
        <w:jc w:val="center"/>
        <w:rPr>
          <w:rFonts w:ascii="黑体" w:eastAsia="黑体"/>
          <w:color w:val="auto"/>
          <w:sz w:val="32"/>
          <w:szCs w:val="32"/>
        </w:rPr>
      </w:pPr>
      <w:r>
        <w:rPr>
          <w:rFonts w:hint="eastAsia" w:ascii="黑体" w:eastAsia="黑体"/>
          <w:color w:val="auto"/>
          <w:sz w:val="32"/>
          <w:szCs w:val="32"/>
        </w:rPr>
        <w:t>第三章 奖励标准与</w:t>
      </w:r>
      <w:r>
        <w:rPr>
          <w:rFonts w:hint="eastAsia" w:ascii="黑体" w:eastAsia="黑体"/>
          <w:color w:val="auto"/>
          <w:sz w:val="32"/>
          <w:szCs w:val="32"/>
          <w:lang w:val="en-US" w:eastAsia="zh-CN"/>
        </w:rPr>
        <w:t>评审</w:t>
      </w:r>
      <w:r>
        <w:rPr>
          <w:rFonts w:hint="eastAsia" w:ascii="黑体" w:eastAsia="黑体"/>
          <w:color w:val="auto"/>
          <w:sz w:val="32"/>
          <w:szCs w:val="32"/>
        </w:rPr>
        <w:t>条件</w:t>
      </w:r>
    </w:p>
    <w:p>
      <w:pPr>
        <w:adjustRightInd w:val="0"/>
        <w:snapToGrid w:val="0"/>
        <w:spacing w:line="580" w:lineRule="exact"/>
        <w:ind w:firstLine="683" w:firstLineChars="200"/>
        <w:rPr>
          <w:rFonts w:ascii="仿宋_GB2312" w:eastAsia="仿宋_GB2312"/>
          <w:b/>
          <w:color w:val="auto"/>
          <w:spacing w:val="10"/>
          <w:sz w:val="32"/>
          <w:szCs w:val="32"/>
        </w:rPr>
      </w:pPr>
      <w:r>
        <w:rPr>
          <w:rFonts w:hint="eastAsia" w:ascii="仿宋_GB2312" w:eastAsia="仿宋_GB2312"/>
          <w:b/>
          <w:color w:val="auto"/>
          <w:spacing w:val="10"/>
          <w:sz w:val="32"/>
          <w:szCs w:val="32"/>
        </w:rPr>
        <w:t xml:space="preserve">第六条 </w:t>
      </w:r>
      <w:r>
        <w:rPr>
          <w:rFonts w:hint="eastAsia" w:ascii="仿宋_GB2312" w:eastAsia="仿宋_GB2312"/>
          <w:color w:val="auto"/>
          <w:sz w:val="32"/>
          <w:szCs w:val="32"/>
        </w:rPr>
        <w:t>博士研究生国家奖学金奖励标准为每生每年3万元；硕士研究生国家奖学金奖励标准为每生每年2万元</w:t>
      </w:r>
      <w:r>
        <w:rPr>
          <w:rFonts w:hint="eastAsia" w:ascii="仿宋_GB2312" w:hAnsi="仿宋" w:eastAsia="仿宋_GB2312"/>
          <w:color w:val="auto"/>
          <w:sz w:val="32"/>
          <w:szCs w:val="32"/>
        </w:rPr>
        <w:t>（如国家政策调整，以上级文件为准）</w:t>
      </w:r>
      <w:r>
        <w:rPr>
          <w:rFonts w:hint="eastAsia" w:ascii="仿宋_GB2312" w:eastAsia="仿宋_GB2312"/>
          <w:color w:val="auto"/>
          <w:sz w:val="32"/>
          <w:szCs w:val="32"/>
        </w:rPr>
        <w:t>。</w:t>
      </w:r>
    </w:p>
    <w:p>
      <w:pPr>
        <w:spacing w:line="580" w:lineRule="exact"/>
        <w:ind w:firstLine="683" w:firstLineChars="200"/>
        <w:rPr>
          <w:rFonts w:hint="eastAsia" w:ascii="仿宋_GB2312" w:eastAsia="FangSong_GB2312"/>
          <w:b/>
          <w:color w:val="auto"/>
          <w:sz w:val="32"/>
          <w:szCs w:val="32"/>
          <w:lang w:eastAsia="zh-CN"/>
        </w:rPr>
      </w:pPr>
      <w:r>
        <w:rPr>
          <w:rFonts w:hint="eastAsia" w:ascii="仿宋_GB2312" w:eastAsia="仿宋_GB2312"/>
          <w:b/>
          <w:color w:val="auto"/>
          <w:spacing w:val="10"/>
          <w:sz w:val="32"/>
          <w:szCs w:val="32"/>
        </w:rPr>
        <w:t>第</w:t>
      </w:r>
      <w:r>
        <w:rPr>
          <w:rFonts w:hint="eastAsia" w:ascii="仿宋_GB2312" w:eastAsia="仿宋_GB2312"/>
          <w:b/>
          <w:color w:val="auto"/>
          <w:spacing w:val="10"/>
          <w:sz w:val="32"/>
          <w:szCs w:val="32"/>
          <w:lang w:val="en-US" w:eastAsia="zh-CN"/>
        </w:rPr>
        <w:t>七</w:t>
      </w:r>
      <w:r>
        <w:rPr>
          <w:rFonts w:hint="eastAsia" w:ascii="仿宋_GB2312" w:eastAsia="仿宋_GB2312"/>
          <w:b/>
          <w:color w:val="auto"/>
          <w:spacing w:val="10"/>
          <w:sz w:val="32"/>
          <w:szCs w:val="32"/>
        </w:rPr>
        <w:t xml:space="preserve">条 </w:t>
      </w:r>
      <w:r>
        <w:rPr>
          <w:rFonts w:hint="eastAsia" w:ascii="FangSong_GB2312" w:hAnsi="FangSong_GB2312" w:eastAsia="FangSong_GB2312" w:cs="FangSong_GB2312"/>
          <w:color w:val="auto"/>
          <w:sz w:val="32"/>
          <w:szCs w:val="32"/>
        </w:rPr>
        <w:t>申请研究生</w:t>
      </w:r>
      <w:r>
        <w:rPr>
          <w:rFonts w:hint="eastAsia" w:ascii="FangSong_GB2312" w:hAnsi="FangSong_GB2312" w:eastAsia="FangSong_GB2312" w:cs="FangSong_GB2312"/>
          <w:color w:val="auto"/>
          <w:sz w:val="32"/>
          <w:szCs w:val="32"/>
          <w:lang w:val="en-US" w:eastAsia="zh-CN"/>
        </w:rPr>
        <w:t>国家</w:t>
      </w:r>
      <w:r>
        <w:rPr>
          <w:rFonts w:hint="eastAsia" w:ascii="FangSong_GB2312" w:hAnsi="FangSong_GB2312" w:eastAsia="FangSong_GB2312" w:cs="FangSong_GB2312"/>
          <w:color w:val="auto"/>
          <w:sz w:val="32"/>
          <w:szCs w:val="32"/>
        </w:rPr>
        <w:t>奖学金的基本条件</w:t>
      </w:r>
      <w:r>
        <w:rPr>
          <w:rFonts w:hint="eastAsia" w:ascii="FangSong_GB2312" w:hAnsi="FangSong_GB2312" w:eastAsia="FangSong_GB2312" w:cs="FangSong_GB2312"/>
          <w:color w:val="auto"/>
          <w:sz w:val="32"/>
          <w:szCs w:val="32"/>
          <w:lang w:eastAsia="zh-CN"/>
        </w:rPr>
        <w:t>：</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1.热爱社会主义祖国，拥护中国共产党的领导；</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2.遵守宪法和法律，遵守学校规章制度；</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3.诚实守信，</w:t>
      </w:r>
      <w:r>
        <w:rPr>
          <w:rFonts w:hint="eastAsia" w:ascii="FangSong_GB2312" w:hAnsi="FangSong_GB2312" w:eastAsia="FangSong_GB2312" w:cs="FangSong_GB2312"/>
          <w:color w:val="auto"/>
          <w:sz w:val="32"/>
          <w:szCs w:val="32"/>
        </w:rPr>
        <w:t>品学兼优；</w:t>
      </w:r>
    </w:p>
    <w:p>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4.培养计划所修课程加权平均成绩不低于8</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分；</w:t>
      </w:r>
    </w:p>
    <w:p>
      <w:pPr>
        <w:spacing w:line="58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default" w:ascii="仿宋_GB2312" w:eastAsia="仿宋_GB2312"/>
          <w:color w:val="000000" w:themeColor="text1"/>
          <w:sz w:val="32"/>
          <w:szCs w:val="32"/>
          <w:lang w:val="en-US"/>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科研能力显著，发展潜力突出</w:t>
      </w:r>
      <w:r>
        <w:rPr>
          <w:rFonts w:hint="eastAsia" w:ascii="仿宋_GB2312" w:eastAsia="仿宋_GB2312"/>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6.</w:t>
      </w:r>
      <w:r>
        <w:rPr>
          <w:rFonts w:hint="eastAsia" w:ascii="FangSong_GB2312" w:hAnsi="FangSong_GB2312" w:eastAsia="FangSong_GB2312" w:cs="FangSong_GB2312"/>
          <w:color w:val="000000" w:themeColor="text1"/>
          <w:sz w:val="32"/>
          <w:szCs w:val="32"/>
          <w14:textFill>
            <w14:solidFill>
              <w14:schemeClr w14:val="tx1"/>
            </w14:solidFill>
          </w14:textFill>
        </w:rPr>
        <w:t>在规定学制期内的全日制、全脱产在读研究生。</w:t>
      </w:r>
    </w:p>
    <w:p>
      <w:pPr>
        <w:spacing w:line="580" w:lineRule="exact"/>
        <w:ind w:firstLine="683" w:firstLineChars="200"/>
        <w:rPr>
          <w:rFonts w:ascii="仿宋_GB2312" w:eastAsia="仿宋_GB2312"/>
          <w:color w:val="auto"/>
          <w:sz w:val="32"/>
          <w:szCs w:val="32"/>
        </w:rPr>
      </w:pPr>
      <w:r>
        <w:rPr>
          <w:rFonts w:hint="eastAsia" w:ascii="仿宋_GB2312" w:eastAsia="仿宋_GB2312"/>
          <w:b/>
          <w:color w:val="auto"/>
          <w:spacing w:val="10"/>
          <w:sz w:val="32"/>
          <w:szCs w:val="32"/>
        </w:rPr>
        <w:t>第</w:t>
      </w:r>
      <w:r>
        <w:rPr>
          <w:rFonts w:hint="eastAsia" w:ascii="仿宋_GB2312" w:eastAsia="仿宋_GB2312"/>
          <w:b/>
          <w:color w:val="auto"/>
          <w:spacing w:val="10"/>
          <w:sz w:val="32"/>
          <w:szCs w:val="32"/>
          <w:lang w:val="en-US" w:eastAsia="zh-CN"/>
        </w:rPr>
        <w:t>八</w:t>
      </w:r>
      <w:r>
        <w:rPr>
          <w:rFonts w:hint="eastAsia" w:ascii="仿宋_GB2312" w:eastAsia="仿宋_GB2312"/>
          <w:b/>
          <w:color w:val="auto"/>
          <w:spacing w:val="10"/>
          <w:sz w:val="32"/>
          <w:szCs w:val="32"/>
        </w:rPr>
        <w:t xml:space="preserve">条 </w:t>
      </w:r>
      <w:r>
        <w:rPr>
          <w:rFonts w:hint="eastAsia" w:ascii="FangSong_GB2312" w:hAnsi="FangSong_GB2312" w:eastAsia="FangSong_GB2312" w:cs="FangSong_GB2312"/>
          <w:color w:val="auto"/>
          <w:sz w:val="32"/>
          <w:szCs w:val="32"/>
        </w:rPr>
        <w:t>有以下情况之一者不能参加</w:t>
      </w:r>
      <w:r>
        <w:rPr>
          <w:rFonts w:hint="eastAsia" w:ascii="FangSong_GB2312" w:hAnsi="FangSong_GB2312" w:eastAsia="FangSong_GB2312" w:cs="FangSong_GB2312"/>
          <w:color w:val="auto"/>
          <w:sz w:val="32"/>
          <w:szCs w:val="32"/>
          <w:lang w:val="en-US" w:eastAsia="zh-CN"/>
        </w:rPr>
        <w:t>国家</w:t>
      </w:r>
      <w:r>
        <w:rPr>
          <w:rFonts w:hint="eastAsia" w:ascii="FangSong_GB2312" w:hAnsi="FangSong_GB2312" w:eastAsia="FangSong_GB2312" w:cs="FangSong_GB2312"/>
          <w:color w:val="auto"/>
          <w:sz w:val="32"/>
          <w:szCs w:val="32"/>
        </w:rPr>
        <w:t>奖学金的评审</w:t>
      </w:r>
      <w:r>
        <w:rPr>
          <w:rFonts w:hint="eastAsia" w:ascii="仿宋_GB2312" w:eastAsia="仿宋_GB2312"/>
          <w:color w:val="auto"/>
          <w:sz w:val="32"/>
          <w:szCs w:val="32"/>
        </w:rPr>
        <w:t>：</w:t>
      </w:r>
    </w:p>
    <w:p>
      <w:pPr>
        <w:spacing w:line="580" w:lineRule="exact"/>
        <w:ind w:firstLine="640" w:firstLineChars="200"/>
        <w:rPr>
          <w:rFonts w:hint="eastAsia" w:ascii="FangSong_GB2312" w:hAnsi="FangSong_GB2312" w:eastAsia="仿宋_GB2312" w:cs="FangSong_GB2312"/>
          <w:color w:val="FF0000"/>
          <w:sz w:val="32"/>
          <w:szCs w:val="32"/>
          <w:lang w:eastAsia="zh-CN"/>
        </w:rPr>
      </w:pPr>
      <w:r>
        <w:rPr>
          <w:rFonts w:hint="eastAsia" w:ascii="FangSong_GB2312" w:hAnsi="FangSong_GB2312" w:eastAsia="FangSong_GB2312" w:cs="FangSong_GB2312"/>
          <w:color w:val="FF0000"/>
          <w:sz w:val="32"/>
          <w:szCs w:val="32"/>
        </w:rPr>
        <w:t>1.</w:t>
      </w:r>
      <w:r>
        <w:rPr>
          <w:rFonts w:hint="eastAsia" w:ascii="仿宋_GB2312" w:eastAsia="仿宋_GB2312"/>
          <w:color w:val="FF0000"/>
          <w:sz w:val="32"/>
          <w:szCs w:val="32"/>
        </w:rPr>
        <w:t>受到</w:t>
      </w:r>
      <w:r>
        <w:rPr>
          <w:rFonts w:hint="eastAsia" w:ascii="仿宋_GB2312" w:eastAsia="仿宋_GB2312"/>
          <w:color w:val="FF0000"/>
          <w:sz w:val="32"/>
          <w:szCs w:val="32"/>
          <w:lang w:val="en-US" w:eastAsia="zh-CN"/>
        </w:rPr>
        <w:t>院级处理和</w:t>
      </w:r>
      <w:r>
        <w:rPr>
          <w:rFonts w:hint="eastAsia" w:ascii="仿宋_GB2312" w:eastAsia="仿宋_GB2312"/>
          <w:color w:val="FF0000"/>
          <w:sz w:val="32"/>
          <w:szCs w:val="32"/>
        </w:rPr>
        <w:t>校纪校规纪律处分，仍在处分期内的</w:t>
      </w:r>
      <w:r>
        <w:rPr>
          <w:rFonts w:hint="eastAsia" w:ascii="仿宋_GB2312" w:eastAsia="仿宋_GB2312"/>
          <w:color w:val="FF0000"/>
          <w:sz w:val="32"/>
          <w:szCs w:val="32"/>
          <w:lang w:eastAsia="zh-CN"/>
        </w:rPr>
        <w:t>；</w:t>
      </w:r>
    </w:p>
    <w:p>
      <w:pPr>
        <w:spacing w:line="580" w:lineRule="exact"/>
        <w:ind w:firstLine="640" w:firstLineChars="200"/>
        <w:rPr>
          <w:rFonts w:hint="eastAsia" w:ascii="仿宋_GB2312" w:eastAsia="仿宋_GB2312"/>
          <w:sz w:val="32"/>
          <w:szCs w:val="32"/>
        </w:rPr>
      </w:pPr>
      <w:r>
        <w:rPr>
          <w:rFonts w:hint="eastAsia" w:ascii="FangSong_GB2312" w:hAnsi="FangSong_GB2312" w:eastAsia="FangSong_GB2312" w:cs="FangSong_GB2312"/>
          <w:color w:val="auto"/>
          <w:sz w:val="32"/>
          <w:szCs w:val="32"/>
          <w:lang w:val="en-US" w:eastAsia="zh-CN"/>
        </w:rPr>
        <w:t>2.</w:t>
      </w:r>
      <w:r>
        <w:rPr>
          <w:rFonts w:hint="eastAsia" w:ascii="仿宋_GB2312" w:eastAsia="仿宋_GB2312"/>
          <w:sz w:val="32"/>
          <w:szCs w:val="32"/>
        </w:rPr>
        <w:t>研究生在学期间有抄袭剽窃、弄虚作假等学术不端行为经查证属实的；</w:t>
      </w:r>
    </w:p>
    <w:p>
      <w:pPr>
        <w:spacing w:line="580" w:lineRule="exact"/>
        <w:ind w:firstLine="640" w:firstLineChars="200"/>
        <w:rPr>
          <w:rFonts w:hint="eastAsia" w:ascii="FangSong_GB2312" w:hAnsi="FangSong_GB2312" w:eastAsia="FangSong_GB2312" w:cs="FangSong_GB2312"/>
          <w:color w:val="FF0000"/>
          <w:sz w:val="32"/>
          <w:szCs w:val="32"/>
        </w:rPr>
      </w:pPr>
      <w:r>
        <w:rPr>
          <w:rFonts w:hint="eastAsia" w:ascii="仿宋_GB2312" w:eastAsia="仿宋_GB2312"/>
          <w:color w:val="FF0000"/>
          <w:sz w:val="32"/>
          <w:szCs w:val="32"/>
          <w:lang w:val="en-US" w:eastAsia="zh-CN"/>
        </w:rPr>
        <w:t>3.</w:t>
      </w:r>
      <w:r>
        <w:rPr>
          <w:rFonts w:hint="eastAsia" w:ascii="FangSong_GB2312" w:hAnsi="FangSong_GB2312" w:eastAsia="FangSong_GB2312" w:cs="FangSong_GB2312"/>
          <w:color w:val="FF0000"/>
          <w:sz w:val="32"/>
          <w:szCs w:val="32"/>
        </w:rPr>
        <w:t>培养计划所修课程成绩不及格者；</w:t>
      </w:r>
    </w:p>
    <w:p>
      <w:pPr>
        <w:spacing w:line="580" w:lineRule="exact"/>
        <w:ind w:firstLine="640" w:firstLineChars="200"/>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rPr>
        <w:t>未按培养计划完成课程或相关培养环节者；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.参评学年学籍状态处于休学、保留学籍者；</w:t>
      </w:r>
    </w:p>
    <w:p>
      <w:pPr>
        <w:spacing w:line="580" w:lineRule="exact"/>
        <w:ind w:firstLine="640" w:firstLineChars="200"/>
        <w:rPr>
          <w:rFonts w:hint="eastAsia" w:ascii="仿宋_GB2312" w:hAnsi="Arial" w:eastAsia="仿宋_GB2312" w:cs="Arial"/>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Arial" w:eastAsia="仿宋_GB2312" w:cs="Arial"/>
          <w:sz w:val="32"/>
          <w:szCs w:val="32"/>
        </w:rPr>
        <w:t>未正常缴纳学费和住宿费者；</w:t>
      </w:r>
    </w:p>
    <w:p>
      <w:pPr>
        <w:spacing w:line="580" w:lineRule="exact"/>
        <w:ind w:firstLine="640" w:firstLineChars="200"/>
        <w:rPr>
          <w:rFonts w:hint="eastAsia" w:ascii="仿宋_GB2312" w:eastAsia="仿宋_GB2312"/>
          <w:sz w:val="32"/>
          <w:szCs w:val="32"/>
        </w:rPr>
      </w:pPr>
      <w:r>
        <w:rPr>
          <w:rFonts w:hint="eastAsia" w:ascii="仿宋_GB2312" w:hAnsi="Arial" w:eastAsia="仿宋_GB2312" w:cs="Arial"/>
          <w:sz w:val="32"/>
          <w:szCs w:val="32"/>
          <w:lang w:val="en-US" w:eastAsia="zh-CN"/>
        </w:rPr>
        <w:t>7</w:t>
      </w:r>
      <w:r>
        <w:rPr>
          <w:rFonts w:hint="eastAsia" w:ascii="仿宋_GB2312" w:hAnsi="Arial" w:eastAsia="仿宋_GB2312" w:cs="Arial"/>
          <w:sz w:val="32"/>
          <w:szCs w:val="32"/>
        </w:rPr>
        <w:t>.</w:t>
      </w:r>
      <w:r>
        <w:rPr>
          <w:rFonts w:hint="eastAsia" w:ascii="仿宋_GB2312" w:eastAsia="仿宋_GB2312"/>
          <w:sz w:val="32"/>
          <w:szCs w:val="32"/>
        </w:rPr>
        <w:t>参评学年已毕业者；</w:t>
      </w:r>
    </w:p>
    <w:p>
      <w:pPr>
        <w:spacing w:line="580" w:lineRule="exact"/>
        <w:ind w:firstLine="640" w:firstLineChars="200"/>
        <w:rPr>
          <w:rFonts w:ascii="仿宋_GB2312" w:hAnsi="Arial" w:eastAsia="仿宋_GB2312" w:cs="Arial"/>
          <w:color w:val="auto"/>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.超出录取时学校规定的基本修业年限者（因学校政策，非个人原因造成的延期毕业的研究生除外）</w:t>
      </w:r>
      <w:r>
        <w:rPr>
          <w:rFonts w:hint="eastAsia" w:ascii="仿宋_GB2312" w:eastAsia="仿宋_GB2312"/>
          <w:sz w:val="32"/>
          <w:szCs w:val="32"/>
          <w:lang w:eastAsia="zh-CN"/>
        </w:rPr>
        <w:t>；</w:t>
      </w:r>
    </w:p>
    <w:p>
      <w:pPr>
        <w:spacing w:line="580" w:lineRule="exact"/>
        <w:ind w:firstLine="640" w:firstLineChars="200"/>
        <w:rPr>
          <w:rFonts w:ascii="仿宋_GB2312" w:hAnsi="仿宋_GB2312" w:eastAsia="仿宋_GB2312" w:cs="仿宋_GB2312"/>
          <w:b w:val="0"/>
          <w:bCs w:val="0"/>
          <w:color w:val="FF0000"/>
          <w:kern w:val="2"/>
          <w:sz w:val="32"/>
          <w:szCs w:val="32"/>
          <w:lang w:bidi="ar"/>
        </w:rPr>
      </w:pPr>
      <w:r>
        <w:rPr>
          <w:rFonts w:hint="eastAsia" w:ascii="FangSong_GB2312" w:hAnsi="FangSong_GB2312" w:eastAsia="FangSong_GB2312" w:cs="FangSong_GB2312"/>
          <w:b w:val="0"/>
          <w:bCs w:val="0"/>
          <w:color w:val="FF0000"/>
          <w:sz w:val="32"/>
          <w:szCs w:val="32"/>
          <w:lang w:val="en-US" w:eastAsia="zh-CN"/>
        </w:rPr>
        <w:t>9.</w:t>
      </w:r>
      <w:r>
        <w:rPr>
          <w:rFonts w:hint="eastAsia" w:ascii="FangSong_GB2312" w:hAnsi="FangSong_GB2312" w:eastAsia="FangSong_GB2312" w:cs="FangSong_GB2312"/>
          <w:b w:val="0"/>
          <w:bCs w:val="0"/>
          <w:color w:val="FF0000"/>
          <w:sz w:val="32"/>
          <w:szCs w:val="32"/>
        </w:rPr>
        <w:t>严重违反安全与保密规定者；</w:t>
      </w:r>
    </w:p>
    <w:p>
      <w:pPr>
        <w:spacing w:line="580" w:lineRule="exact"/>
        <w:ind w:firstLine="640" w:firstLineChars="200"/>
        <w:rPr>
          <w:rFonts w:ascii="仿宋_GB2312" w:hAnsi="仿宋_GB2312" w:eastAsia="仿宋_GB2312" w:cs="仿宋_GB2312"/>
          <w:color w:val="auto"/>
          <w:kern w:val="2"/>
          <w:sz w:val="32"/>
          <w:szCs w:val="32"/>
          <w:lang w:bidi="ar"/>
        </w:rPr>
      </w:pPr>
      <w:r>
        <w:rPr>
          <w:rFonts w:hint="eastAsia" w:ascii="仿宋_GB2312" w:hAnsi="仿宋_GB2312" w:eastAsia="仿宋_GB2312" w:cs="仿宋_GB2312"/>
          <w:color w:val="auto"/>
          <w:kern w:val="2"/>
          <w:sz w:val="32"/>
          <w:szCs w:val="32"/>
          <w:lang w:val="en-US" w:eastAsia="zh-CN" w:bidi="ar"/>
        </w:rPr>
        <w:t>10</w:t>
      </w:r>
      <w:r>
        <w:rPr>
          <w:rFonts w:ascii="仿宋_GB2312" w:hAnsi="仿宋_GB2312" w:eastAsia="仿宋_GB2312" w:cs="仿宋_GB2312"/>
          <w:color w:val="auto"/>
          <w:kern w:val="2"/>
          <w:sz w:val="32"/>
          <w:szCs w:val="32"/>
          <w:lang w:bidi="ar"/>
        </w:rPr>
        <w:t>.学院认定的</w:t>
      </w:r>
      <w:r>
        <w:rPr>
          <w:rFonts w:hint="eastAsia" w:ascii="FangSong_GB2312" w:hAnsi="FangSong_GB2312" w:eastAsia="FangSong_GB2312" w:cs="FangSong_GB2312"/>
          <w:color w:val="auto"/>
          <w:sz w:val="32"/>
          <w:szCs w:val="32"/>
        </w:rPr>
        <w:t>其他不宜参评者</w:t>
      </w:r>
      <w:r>
        <w:rPr>
          <w:rFonts w:ascii="仿宋_GB2312" w:hAnsi="仿宋_GB2312" w:eastAsia="仿宋_GB2312" w:cs="仿宋_GB2312"/>
          <w:color w:val="auto"/>
          <w:kern w:val="2"/>
          <w:sz w:val="32"/>
          <w:szCs w:val="32"/>
          <w:lang w:bidi="ar"/>
        </w:rPr>
        <w:t>。</w:t>
      </w:r>
    </w:p>
    <w:p>
      <w:pPr>
        <w:spacing w:line="580" w:lineRule="exact"/>
        <w:ind w:firstLine="683" w:firstLineChars="200"/>
        <w:rPr>
          <w:rFonts w:ascii="仿宋_GB2312" w:eastAsia="仿宋_GB2312"/>
          <w:color w:val="auto"/>
          <w:sz w:val="32"/>
          <w:szCs w:val="32"/>
        </w:rPr>
      </w:pPr>
      <w:r>
        <w:rPr>
          <w:rFonts w:hint="eastAsia" w:ascii="仿宋_GB2312" w:eastAsia="仿宋_GB2312"/>
          <w:b/>
          <w:color w:val="auto"/>
          <w:spacing w:val="10"/>
          <w:sz w:val="32"/>
          <w:szCs w:val="32"/>
        </w:rPr>
        <w:t>第</w:t>
      </w:r>
      <w:r>
        <w:rPr>
          <w:rFonts w:hint="eastAsia" w:ascii="仿宋_GB2312" w:eastAsia="仿宋_GB2312"/>
          <w:b/>
          <w:color w:val="auto"/>
          <w:spacing w:val="10"/>
          <w:sz w:val="32"/>
          <w:szCs w:val="32"/>
          <w:lang w:val="en-US" w:eastAsia="zh-CN"/>
        </w:rPr>
        <w:t>九</w:t>
      </w:r>
      <w:r>
        <w:rPr>
          <w:rFonts w:hint="eastAsia" w:ascii="仿宋_GB2312" w:eastAsia="仿宋_GB2312"/>
          <w:b/>
          <w:color w:val="auto"/>
          <w:spacing w:val="10"/>
          <w:sz w:val="32"/>
          <w:szCs w:val="32"/>
        </w:rPr>
        <w:t xml:space="preserve">条 </w:t>
      </w:r>
      <w:r>
        <w:rPr>
          <w:rFonts w:hint="eastAsia" w:ascii="仿宋_GB2312" w:eastAsia="仿宋_GB2312"/>
          <w:color w:val="auto"/>
          <w:sz w:val="32"/>
          <w:szCs w:val="32"/>
        </w:rPr>
        <w:t>研究生在基本修业年限内可以多次申请参评，但获得过国家奖学金的成果不可重复申报使用。</w:t>
      </w:r>
    </w:p>
    <w:p>
      <w:pPr>
        <w:spacing w:line="580" w:lineRule="exact"/>
        <w:jc w:val="center"/>
        <w:rPr>
          <w:rFonts w:ascii="黑体" w:eastAsia="黑体"/>
          <w:color w:val="auto"/>
          <w:sz w:val="32"/>
          <w:szCs w:val="32"/>
        </w:rPr>
      </w:pPr>
      <w:r>
        <w:rPr>
          <w:rFonts w:hint="eastAsia" w:ascii="黑体" w:eastAsia="黑体"/>
          <w:color w:val="auto"/>
          <w:sz w:val="32"/>
          <w:szCs w:val="32"/>
        </w:rPr>
        <w:t>第四章 评审标准</w:t>
      </w:r>
    </w:p>
    <w:p>
      <w:pPr>
        <w:spacing w:line="58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第</w:t>
      </w:r>
      <w:r>
        <w:rPr>
          <w:rFonts w:hint="eastAsia" w:ascii="仿宋_GB2312" w:eastAsia="仿宋_GB2312"/>
          <w:b/>
          <w:bCs/>
          <w:color w:val="auto"/>
          <w:sz w:val="32"/>
          <w:szCs w:val="32"/>
          <w:lang w:val="en-US" w:eastAsia="zh-CN"/>
        </w:rPr>
        <w:t>十</w:t>
      </w:r>
      <w:r>
        <w:rPr>
          <w:rFonts w:hint="eastAsia" w:ascii="仿宋_GB2312" w:eastAsia="仿宋_GB2312"/>
          <w:b/>
          <w:bCs/>
          <w:color w:val="auto"/>
          <w:sz w:val="32"/>
          <w:szCs w:val="32"/>
        </w:rPr>
        <w:t>条</w:t>
      </w:r>
      <w:r>
        <w:rPr>
          <w:rFonts w:hint="eastAsia" w:ascii="仿宋_GB2312" w:eastAsia="仿宋_GB2312"/>
          <w:color w:val="auto"/>
          <w:sz w:val="32"/>
          <w:szCs w:val="32"/>
        </w:rPr>
        <w:t xml:space="preserve"> 研究生国家奖学金评定：</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在校研究生国家奖学金评定主要根据综合测评排名，综合测评包含</w:t>
      </w:r>
      <w:r>
        <w:rPr>
          <w:rFonts w:hint="eastAsia" w:ascii="仿宋_GB2312" w:eastAsia="仿宋_GB2312"/>
          <w:color w:val="auto"/>
          <w:sz w:val="32"/>
          <w:szCs w:val="32"/>
          <w:lang w:val="en-US" w:eastAsia="zh-CN"/>
        </w:rPr>
        <w:t>学术</w:t>
      </w:r>
      <w:r>
        <w:rPr>
          <w:rFonts w:ascii="仿宋_GB2312" w:eastAsia="仿宋_GB2312"/>
          <w:color w:val="auto"/>
          <w:sz w:val="32"/>
          <w:szCs w:val="32"/>
        </w:rPr>
        <w:t>成果、第二课堂</w:t>
      </w:r>
      <w:r>
        <w:rPr>
          <w:rFonts w:hint="eastAsia" w:ascii="仿宋_GB2312" w:eastAsia="仿宋_GB2312"/>
          <w:color w:val="auto"/>
          <w:sz w:val="32"/>
          <w:szCs w:val="32"/>
        </w:rPr>
        <w:t>、答辩</w:t>
      </w:r>
      <w:r>
        <w:rPr>
          <w:rFonts w:hint="eastAsia" w:ascii="FangSong_GB2312" w:hAnsi="FangSong_GB2312" w:eastAsia="FangSong_GB2312" w:cs="FangSong_GB2312"/>
          <w:b w:val="0"/>
          <w:bCs w:val="0"/>
          <w:color w:val="auto"/>
          <w:sz w:val="32"/>
          <w:szCs w:val="32"/>
        </w:rPr>
        <w:t>。</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综合测评排名系数</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rPr>
        <w:t>n</w:t>
      </w:r>
      <w:r>
        <w:rPr>
          <w:rFonts w:ascii="仿宋_GB2312" w:hAnsi="仿宋_GB2312" w:eastAsia="仿宋_GB2312" w:cs="仿宋_GB2312"/>
          <w:color w:val="FF0000"/>
          <w:sz w:val="32"/>
          <w:szCs w:val="32"/>
          <w:vertAlign w:val="subscript"/>
        </w:rPr>
        <w:t>1</w:t>
      </w:r>
      <w:r>
        <w:rPr>
          <w:rFonts w:hint="eastAsia" w:ascii="仿宋_GB2312" w:hAnsi="仿宋_GB2312" w:eastAsia="仿宋_GB2312" w:cs="仿宋_GB2312"/>
          <w:color w:val="FF0000"/>
          <w:sz w:val="32"/>
          <w:szCs w:val="32"/>
        </w:rPr>
        <w:t>/n</w:t>
      </w:r>
      <w:r>
        <w:rPr>
          <w:rFonts w:hint="eastAsia" w:ascii="仿宋_GB2312" w:hAnsi="仿宋_GB2312" w:eastAsia="仿宋_GB2312" w:cs="仿宋_GB2312"/>
          <w:color w:val="FF0000"/>
          <w:sz w:val="32"/>
          <w:szCs w:val="32"/>
          <w:vertAlign w:val="subscript"/>
        </w:rPr>
        <w:t>1max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75</w:t>
      </w:r>
      <w:r>
        <w:rPr>
          <w:rFonts w:hint="eastAsia" w:ascii="仿宋_GB2312" w:hAnsi="仿宋_GB2312" w:eastAsia="仿宋_GB2312" w:cs="仿宋_GB2312"/>
          <w:color w:val="FF0000"/>
          <w:sz w:val="32"/>
          <w:szCs w:val="32"/>
        </w:rPr>
        <w:t>%+n</w:t>
      </w:r>
      <w:r>
        <w:rPr>
          <w:rFonts w:hint="eastAsia" w:ascii="仿宋_GB2312" w:hAnsi="仿宋_GB2312" w:eastAsia="仿宋_GB2312" w:cs="仿宋_GB2312"/>
          <w:color w:val="FF0000"/>
          <w:sz w:val="32"/>
          <w:szCs w:val="32"/>
          <w:vertAlign w:val="subscript"/>
        </w:rPr>
        <w:t>2</w:t>
      </w:r>
      <w:r>
        <w:rPr>
          <w:rFonts w:hint="eastAsia" w:ascii="仿宋_GB2312" w:hAnsi="仿宋_GB2312" w:eastAsia="仿宋_GB2312" w:cs="仿宋_GB2312"/>
          <w:color w:val="FF0000"/>
          <w:sz w:val="32"/>
          <w:szCs w:val="32"/>
        </w:rPr>
        <w:t>/n</w:t>
      </w:r>
      <w:r>
        <w:rPr>
          <w:rFonts w:hint="eastAsia" w:ascii="仿宋_GB2312" w:hAnsi="仿宋_GB2312" w:eastAsia="仿宋_GB2312" w:cs="仿宋_GB2312"/>
          <w:color w:val="FF0000"/>
          <w:sz w:val="32"/>
          <w:szCs w:val="32"/>
          <w:vertAlign w:val="subscript"/>
        </w:rPr>
        <w:t>2max</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15</w:t>
      </w:r>
      <w:r>
        <w:rPr>
          <w:rFonts w:hint="eastAsia" w:ascii="仿宋_GB2312" w:hAnsi="仿宋_GB2312" w:eastAsia="仿宋_GB2312" w:cs="仿宋_GB2312"/>
          <w:color w:val="FF0000"/>
          <w:sz w:val="32"/>
          <w:szCs w:val="32"/>
        </w:rPr>
        <w:t>%+n</w:t>
      </w:r>
      <w:r>
        <w:rPr>
          <w:rFonts w:hint="eastAsia" w:ascii="仿宋_GB2312" w:hAnsi="仿宋_GB2312" w:eastAsia="仿宋_GB2312" w:cs="仿宋_GB2312"/>
          <w:color w:val="FF0000"/>
          <w:sz w:val="32"/>
          <w:szCs w:val="32"/>
          <w:vertAlign w:val="subscript"/>
        </w:rPr>
        <w:t>3</w:t>
      </w:r>
      <w:r>
        <w:rPr>
          <w:rFonts w:hint="eastAsia" w:ascii="仿宋_GB2312" w:hAnsi="仿宋_GB2312" w:eastAsia="仿宋_GB2312" w:cs="仿宋_GB2312"/>
          <w:color w:val="FF0000"/>
          <w:sz w:val="32"/>
          <w:szCs w:val="32"/>
        </w:rPr>
        <w:t>/n</w:t>
      </w:r>
      <w:r>
        <w:rPr>
          <w:rFonts w:hint="eastAsia" w:ascii="仿宋_GB2312" w:hAnsi="仿宋_GB2312" w:eastAsia="仿宋_GB2312" w:cs="仿宋_GB2312"/>
          <w:color w:val="FF0000"/>
          <w:sz w:val="32"/>
          <w:szCs w:val="32"/>
          <w:vertAlign w:val="subscript"/>
        </w:rPr>
        <w:t>3max</w:t>
      </w:r>
      <w:r>
        <w:rPr>
          <w:rFonts w:hint="eastAsia" w:ascii="仿宋_GB2312" w:hAnsi="仿宋_GB2312" w:eastAsia="仿宋_GB2312" w:cs="仿宋_GB2312"/>
          <w:color w:val="FF0000"/>
          <w:sz w:val="32"/>
          <w:szCs w:val="32"/>
        </w:rPr>
        <w:t>×</w:t>
      </w:r>
      <w:r>
        <w:rPr>
          <w:rFonts w:ascii="仿宋_GB2312" w:hAnsi="仿宋_GB2312" w:eastAsia="仿宋_GB2312" w:cs="仿宋_GB2312"/>
          <w:color w:val="FF0000"/>
          <w:sz w:val="32"/>
          <w:szCs w:val="32"/>
        </w:rPr>
        <w:t>10</w:t>
      </w:r>
      <w:r>
        <w:rPr>
          <w:rFonts w:hint="eastAsia" w:ascii="仿宋_GB2312" w:hAnsi="仿宋_GB2312" w:eastAsia="仿宋_GB2312" w:cs="仿宋_GB2312"/>
          <w:color w:val="FF0000"/>
          <w:sz w:val="32"/>
          <w:szCs w:val="32"/>
        </w:rPr>
        <w:t>%</w:t>
      </w:r>
    </w:p>
    <w:p>
      <w:pPr>
        <w:spacing w:line="580" w:lineRule="exact"/>
        <w:ind w:firstLine="640" w:firstLineChars="200"/>
        <w:rPr>
          <w:rFonts w:ascii="仿宋_GB2312" w:hAnsi="仿宋_GB2312" w:eastAsia="仿宋_GB2312" w:cs="仿宋_GB2312"/>
          <w:color w:val="auto"/>
          <w:kern w:val="2"/>
          <w:sz w:val="32"/>
          <w:szCs w:val="32"/>
          <w:vertAlign w:val="subscript"/>
        </w:rPr>
      </w:pPr>
      <w:r>
        <w:rPr>
          <w:rFonts w:hint="eastAsia" w:ascii="仿宋_GB2312" w:hAnsi="仿宋_GB2312" w:eastAsia="仿宋_GB2312" w:cs="仿宋_GB2312"/>
          <w:color w:val="auto"/>
          <w:kern w:val="2"/>
          <w:sz w:val="32"/>
          <w:szCs w:val="32"/>
        </w:rPr>
        <w:t>其中n</w:t>
      </w:r>
      <w:r>
        <w:rPr>
          <w:rFonts w:ascii="仿宋_GB2312" w:hAnsi="仿宋_GB2312" w:eastAsia="仿宋_GB2312" w:cs="仿宋_GB2312"/>
          <w:color w:val="auto"/>
          <w:kern w:val="2"/>
          <w:sz w:val="32"/>
          <w:szCs w:val="32"/>
          <w:vertAlign w:val="subscript"/>
        </w:rPr>
        <w:t>1</w:t>
      </w:r>
      <w:r>
        <w:rPr>
          <w:rFonts w:hint="eastAsia" w:ascii="仿宋_GB2312" w:hAnsi="仿宋_GB2312" w:eastAsia="仿宋_GB2312" w:cs="仿宋_GB2312"/>
          <w:color w:val="auto"/>
          <w:kern w:val="2"/>
          <w:sz w:val="32"/>
          <w:szCs w:val="32"/>
        </w:rPr>
        <w:t>为申请人</w:t>
      </w:r>
      <w:r>
        <w:rPr>
          <w:rFonts w:hint="eastAsia" w:ascii="仿宋_GB2312" w:hAnsi="仿宋_GB2312" w:eastAsia="仿宋_GB2312" w:cs="仿宋_GB2312"/>
          <w:color w:val="auto"/>
          <w:kern w:val="2"/>
          <w:sz w:val="32"/>
          <w:szCs w:val="32"/>
          <w:lang w:val="en-US" w:eastAsia="zh-CN"/>
        </w:rPr>
        <w:t>学术</w:t>
      </w:r>
      <w:r>
        <w:rPr>
          <w:rFonts w:hint="eastAsia" w:ascii="仿宋_GB2312" w:hAnsi="仿宋_GB2312" w:eastAsia="仿宋_GB2312" w:cs="仿宋_GB2312"/>
          <w:color w:val="auto"/>
          <w:kern w:val="2"/>
          <w:sz w:val="32"/>
          <w:szCs w:val="32"/>
        </w:rPr>
        <w:t>成果点数，n</w:t>
      </w:r>
      <w:r>
        <w:rPr>
          <w:rFonts w:hint="eastAsia" w:ascii="仿宋_GB2312" w:hAnsi="仿宋_GB2312" w:eastAsia="仿宋_GB2312" w:cs="仿宋_GB2312"/>
          <w:color w:val="auto"/>
          <w:kern w:val="2"/>
          <w:sz w:val="32"/>
          <w:szCs w:val="32"/>
          <w:vertAlign w:val="subscript"/>
        </w:rPr>
        <w:t>1max</w:t>
      </w:r>
      <w:r>
        <w:rPr>
          <w:rFonts w:hint="eastAsia" w:ascii="仿宋_GB2312" w:hAnsi="仿宋_GB2312" w:eastAsia="仿宋_GB2312" w:cs="仿宋_GB2312"/>
          <w:color w:val="auto"/>
          <w:kern w:val="2"/>
          <w:sz w:val="32"/>
          <w:szCs w:val="32"/>
        </w:rPr>
        <w:t>为所有申请人中最高</w:t>
      </w:r>
      <w:r>
        <w:rPr>
          <w:rFonts w:hint="eastAsia" w:ascii="仿宋_GB2312" w:hAnsi="仿宋_GB2312" w:eastAsia="仿宋_GB2312" w:cs="仿宋_GB2312"/>
          <w:color w:val="auto"/>
          <w:kern w:val="2"/>
          <w:sz w:val="32"/>
          <w:szCs w:val="32"/>
          <w:lang w:val="en-US" w:eastAsia="zh-CN"/>
        </w:rPr>
        <w:t>学术</w:t>
      </w:r>
      <w:r>
        <w:rPr>
          <w:rFonts w:hint="eastAsia" w:ascii="仿宋_GB2312" w:hAnsi="仿宋_GB2312" w:eastAsia="仿宋_GB2312" w:cs="仿宋_GB2312"/>
          <w:color w:val="auto"/>
          <w:kern w:val="2"/>
          <w:sz w:val="32"/>
          <w:szCs w:val="32"/>
        </w:rPr>
        <w:t>成果点数；n</w:t>
      </w:r>
      <w:r>
        <w:rPr>
          <w:rFonts w:ascii="仿宋_GB2312" w:hAnsi="仿宋_GB2312" w:eastAsia="仿宋_GB2312" w:cs="仿宋_GB2312"/>
          <w:color w:val="auto"/>
          <w:kern w:val="2"/>
          <w:sz w:val="32"/>
          <w:szCs w:val="32"/>
          <w:vertAlign w:val="subscript"/>
        </w:rPr>
        <w:t>2</w:t>
      </w:r>
      <w:r>
        <w:rPr>
          <w:rFonts w:hint="eastAsia" w:ascii="仿宋_GB2312" w:hAnsi="仿宋_GB2312" w:eastAsia="仿宋_GB2312" w:cs="仿宋_GB2312"/>
          <w:color w:val="auto"/>
          <w:kern w:val="2"/>
          <w:sz w:val="32"/>
          <w:szCs w:val="32"/>
        </w:rPr>
        <w:t>为申请人第二课堂点数，n</w:t>
      </w:r>
      <w:r>
        <w:rPr>
          <w:rFonts w:hint="eastAsia" w:ascii="仿宋_GB2312" w:hAnsi="仿宋_GB2312" w:eastAsia="仿宋_GB2312" w:cs="仿宋_GB2312"/>
          <w:color w:val="auto"/>
          <w:kern w:val="2"/>
          <w:sz w:val="32"/>
          <w:szCs w:val="32"/>
          <w:vertAlign w:val="subscript"/>
        </w:rPr>
        <w:t>2max</w:t>
      </w:r>
      <w:r>
        <w:rPr>
          <w:rFonts w:hint="eastAsia" w:ascii="仿宋_GB2312" w:hAnsi="仿宋_GB2312" w:eastAsia="仿宋_GB2312" w:cs="仿宋_GB2312"/>
          <w:color w:val="auto"/>
          <w:kern w:val="2"/>
          <w:sz w:val="32"/>
          <w:szCs w:val="32"/>
        </w:rPr>
        <w:t>为所有申请人中最高第二课堂点数； n</w:t>
      </w:r>
      <w:r>
        <w:rPr>
          <w:rFonts w:ascii="仿宋_GB2312" w:hAnsi="仿宋_GB2312" w:eastAsia="仿宋_GB2312" w:cs="仿宋_GB2312"/>
          <w:color w:val="auto"/>
          <w:kern w:val="2"/>
          <w:sz w:val="32"/>
          <w:szCs w:val="32"/>
          <w:vertAlign w:val="subscript"/>
        </w:rPr>
        <w:t>3</w:t>
      </w:r>
      <w:r>
        <w:rPr>
          <w:rFonts w:hint="eastAsia" w:ascii="仿宋_GB2312" w:hAnsi="仿宋_GB2312" w:eastAsia="仿宋_GB2312" w:cs="仿宋_GB2312"/>
          <w:color w:val="auto"/>
          <w:kern w:val="2"/>
          <w:sz w:val="32"/>
          <w:szCs w:val="32"/>
        </w:rPr>
        <w:t>为申请人答辩得分，n</w:t>
      </w:r>
      <w:r>
        <w:rPr>
          <w:rFonts w:ascii="仿宋_GB2312" w:hAnsi="仿宋_GB2312" w:eastAsia="仿宋_GB2312" w:cs="仿宋_GB2312"/>
          <w:color w:val="auto"/>
          <w:kern w:val="2"/>
          <w:sz w:val="32"/>
          <w:szCs w:val="32"/>
          <w:vertAlign w:val="subscript"/>
        </w:rPr>
        <w:t>3</w:t>
      </w:r>
      <w:r>
        <w:rPr>
          <w:rFonts w:hint="eastAsia" w:ascii="仿宋_GB2312" w:hAnsi="仿宋_GB2312" w:eastAsia="仿宋_GB2312" w:cs="仿宋_GB2312"/>
          <w:color w:val="auto"/>
          <w:kern w:val="2"/>
          <w:sz w:val="32"/>
          <w:szCs w:val="32"/>
          <w:vertAlign w:val="subscript"/>
        </w:rPr>
        <w:t>max</w:t>
      </w:r>
      <w:r>
        <w:rPr>
          <w:rFonts w:hint="eastAsia" w:ascii="仿宋_GB2312" w:hAnsi="仿宋_GB2312" w:eastAsia="仿宋_GB2312" w:cs="仿宋_GB2312"/>
          <w:color w:val="auto"/>
          <w:kern w:val="2"/>
          <w:sz w:val="32"/>
          <w:szCs w:val="32"/>
        </w:rPr>
        <w:t>为所有申请人中最高答辩得分。</w:t>
      </w:r>
    </w:p>
    <w:p>
      <w:pPr>
        <w:spacing w:line="580" w:lineRule="exact"/>
        <w:ind w:firstLine="643" w:firstLineChars="200"/>
        <w:rPr>
          <w:rFonts w:hint="eastAsia" w:ascii="仿宋_GB2312" w:eastAsia="仿宋_GB2312"/>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十一</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sz w:val="32"/>
          <w:szCs w:val="32"/>
        </w:rPr>
        <w:t>硕博连读学生根据当年所修课程的层次阶段确定身份参与研究生国家奖学金的评定。在选修硕士课程阶段按照硕士研究生身份参与评定；进入选修博士研究生课程阶段按照博士研究生身份参与评定。</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十二</w:t>
      </w:r>
      <w:r>
        <w:rPr>
          <w:rFonts w:hint="eastAsia" w:ascii="仿宋_GB2312" w:eastAsia="仿宋_GB2312"/>
          <w:b/>
          <w:sz w:val="32"/>
          <w:szCs w:val="32"/>
        </w:rPr>
        <w:t>条</w:t>
      </w:r>
      <w:r>
        <w:rPr>
          <w:rFonts w:hint="eastAsia" w:ascii="仿宋_GB2312" w:eastAsia="仿宋_GB2312"/>
          <w:sz w:val="32"/>
          <w:szCs w:val="32"/>
        </w:rPr>
        <w:t xml:space="preserve"> 研究生科研成果署名应为第一作者，或导师（副导师）为第一作者、研究生为第二作者，</w:t>
      </w:r>
      <w:r>
        <w:rPr>
          <w:rFonts w:hint="eastAsia" w:ascii="仿宋_GB2312" w:eastAsia="仿宋_GB2312"/>
          <w:color w:val="FF0000"/>
          <w:sz w:val="32"/>
          <w:szCs w:val="32"/>
        </w:rPr>
        <w:t>作者第一单位必须为河北工业大学</w:t>
      </w:r>
      <w:r>
        <w:rPr>
          <w:rFonts w:hint="eastAsia" w:ascii="仿宋_GB2312" w:eastAsia="仿宋_GB2312"/>
          <w:color w:val="FF0000"/>
          <w:sz w:val="32"/>
          <w:szCs w:val="32"/>
          <w:lang w:val="en-US" w:eastAsia="zh-CN"/>
        </w:rPr>
        <w:t>生命科学与健康工程学院</w:t>
      </w:r>
      <w:r>
        <w:rPr>
          <w:rFonts w:hint="eastAsia" w:ascii="仿宋_GB2312" w:eastAsia="仿宋_GB2312"/>
          <w:sz w:val="32"/>
          <w:szCs w:val="32"/>
        </w:rPr>
        <w:t>。</w:t>
      </w:r>
    </w:p>
    <w:p>
      <w:pPr>
        <w:adjustRightInd w:val="0"/>
        <w:snapToGrid w:val="0"/>
        <w:spacing w:line="580" w:lineRule="exact"/>
        <w:ind w:firstLine="643" w:firstLineChars="200"/>
        <w:rPr>
          <w:rFonts w:ascii="仿宋_GB2312" w:eastAsia="仿宋_GB2312"/>
          <w:color w:val="auto"/>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共同第一作者的成果用于申请国家奖学金时，要如实申报作者排位及该成果是否已申请过国家奖学金，并由共同第一作者签署同意申报的意见。已获得过国家奖学金的科研成果不允许重复使用。</w:t>
      </w:r>
    </w:p>
    <w:p>
      <w:pPr>
        <w:adjustRightInd w:val="0"/>
        <w:snapToGrid w:val="0"/>
        <w:spacing w:line="580" w:lineRule="exact"/>
        <w:jc w:val="center"/>
        <w:rPr>
          <w:rFonts w:ascii="黑体" w:hAnsi="黑体" w:eastAsia="黑体"/>
          <w:bCs/>
          <w:color w:val="auto"/>
          <w:sz w:val="32"/>
          <w:szCs w:val="32"/>
        </w:rPr>
      </w:pPr>
      <w:r>
        <w:rPr>
          <w:rFonts w:hint="eastAsia" w:ascii="黑体" w:hAnsi="黑体" w:eastAsia="黑体"/>
          <w:bCs/>
          <w:color w:val="auto"/>
          <w:sz w:val="32"/>
          <w:szCs w:val="32"/>
        </w:rPr>
        <w:t>第五章 名额与评审程序</w:t>
      </w:r>
    </w:p>
    <w:p>
      <w:pPr>
        <w:spacing w:line="58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第十</w:t>
      </w:r>
      <w:r>
        <w:rPr>
          <w:rFonts w:hint="eastAsia" w:ascii="仿宋_GB2312" w:eastAsia="仿宋_GB2312"/>
          <w:b/>
          <w:bCs/>
          <w:color w:val="auto"/>
          <w:sz w:val="32"/>
          <w:szCs w:val="32"/>
          <w:lang w:val="en-US" w:eastAsia="zh-CN"/>
        </w:rPr>
        <w:t>四</w:t>
      </w:r>
      <w:r>
        <w:rPr>
          <w:rFonts w:hint="eastAsia" w:ascii="仿宋_GB2312" w:eastAsia="仿宋_GB2312"/>
          <w:b/>
          <w:bCs/>
          <w:color w:val="auto"/>
          <w:sz w:val="32"/>
          <w:szCs w:val="32"/>
        </w:rPr>
        <w:t>条</w:t>
      </w:r>
      <w:r>
        <w:rPr>
          <w:rFonts w:hint="eastAsia" w:ascii="仿宋_GB2312" w:eastAsia="仿宋_GB2312"/>
          <w:color w:val="auto"/>
          <w:sz w:val="32"/>
          <w:szCs w:val="32"/>
        </w:rPr>
        <w:t xml:space="preserve"> 学院根据学校下达的研究生国家奖学金名额，按照综合测评系数排名。</w:t>
      </w:r>
    </w:p>
    <w:p>
      <w:pPr>
        <w:adjustRightInd w:val="0"/>
        <w:snapToGrid w:val="0"/>
        <w:spacing w:line="580" w:lineRule="exact"/>
        <w:ind w:firstLine="683" w:firstLineChars="200"/>
        <w:rPr>
          <w:rFonts w:hint="eastAsia" w:ascii="仿宋_GB2312" w:eastAsia="仿宋_GB2312"/>
          <w:b/>
          <w:color w:val="auto"/>
          <w:spacing w:val="10"/>
          <w:sz w:val="32"/>
          <w:szCs w:val="32"/>
          <w:lang w:eastAsia="zh-CN"/>
        </w:rPr>
      </w:pPr>
      <w:r>
        <w:rPr>
          <w:rFonts w:hint="eastAsia" w:ascii="仿宋_GB2312" w:eastAsia="仿宋_GB2312"/>
          <w:b/>
          <w:color w:val="auto"/>
          <w:spacing w:val="10"/>
          <w:sz w:val="32"/>
          <w:szCs w:val="32"/>
        </w:rPr>
        <w:t>第</w:t>
      </w:r>
      <w:r>
        <w:rPr>
          <w:rFonts w:hint="eastAsia" w:ascii="仿宋_GB2312" w:hAnsi="微软雅黑" w:eastAsia="仿宋_GB2312" w:cs="仿宋_GB2312"/>
          <w:b/>
          <w:color w:val="auto"/>
          <w:sz w:val="32"/>
          <w:szCs w:val="32"/>
          <w:lang w:bidi="ar"/>
        </w:rPr>
        <w:t>十</w:t>
      </w:r>
      <w:r>
        <w:rPr>
          <w:rFonts w:hint="eastAsia" w:ascii="仿宋_GB2312" w:hAnsi="微软雅黑" w:eastAsia="仿宋_GB2312" w:cs="仿宋_GB2312"/>
          <w:b/>
          <w:color w:val="auto"/>
          <w:sz w:val="32"/>
          <w:szCs w:val="32"/>
          <w:lang w:val="en-US" w:eastAsia="zh-CN" w:bidi="ar"/>
        </w:rPr>
        <w:t>五</w:t>
      </w:r>
      <w:r>
        <w:rPr>
          <w:rFonts w:hint="eastAsia" w:ascii="仿宋_GB2312" w:eastAsia="仿宋_GB2312"/>
          <w:b/>
          <w:color w:val="auto"/>
          <w:spacing w:val="10"/>
          <w:sz w:val="32"/>
          <w:szCs w:val="32"/>
        </w:rPr>
        <w:t xml:space="preserve">条 </w:t>
      </w:r>
      <w:r>
        <w:rPr>
          <w:rFonts w:hint="eastAsia" w:ascii="仿宋_GB2312" w:eastAsia="仿宋_GB2312"/>
          <w:color w:val="auto"/>
          <w:spacing w:val="10"/>
          <w:sz w:val="32"/>
          <w:szCs w:val="32"/>
        </w:rPr>
        <w:t>评审程序</w:t>
      </w:r>
      <w:r>
        <w:rPr>
          <w:rFonts w:hint="eastAsia" w:ascii="仿宋_GB2312" w:eastAsia="仿宋_GB2312"/>
          <w:color w:val="auto"/>
          <w:spacing w:val="10"/>
          <w:sz w:val="32"/>
          <w:szCs w:val="32"/>
          <w:lang w:eastAsia="zh-CN"/>
        </w:rPr>
        <w:t>：</w:t>
      </w:r>
    </w:p>
    <w:p>
      <w:pPr>
        <w:spacing w:line="580" w:lineRule="exact"/>
        <w:ind w:firstLine="640" w:firstLineChars="200"/>
        <w:rPr>
          <w:rFonts w:ascii="仿宋_GB2312" w:hAnsi="黑体" w:eastAsia="仿宋_GB2312"/>
          <w:color w:val="auto"/>
          <w:sz w:val="32"/>
          <w:szCs w:val="32"/>
        </w:rPr>
      </w:pPr>
      <w:r>
        <w:rPr>
          <w:rFonts w:hint="eastAsia" w:ascii="仿宋_GB2312" w:eastAsia="仿宋_GB2312"/>
          <w:color w:val="auto"/>
          <w:sz w:val="32"/>
          <w:szCs w:val="32"/>
        </w:rPr>
        <w:t>（一）</w:t>
      </w:r>
      <w:r>
        <w:rPr>
          <w:rFonts w:hint="eastAsia" w:ascii="仿宋_GB2312" w:hAnsi="黑体" w:eastAsia="仿宋_GB2312"/>
          <w:color w:val="auto"/>
          <w:sz w:val="32"/>
          <w:szCs w:val="32"/>
        </w:rPr>
        <w:t>研究生本人应如实填写《研究生国家奖学金申请审批表》，并提供相关证明材料报学院评审委员会。</w:t>
      </w:r>
    </w:p>
    <w:p>
      <w:pPr>
        <w:adjustRightInd w:val="0"/>
        <w:snapToGrid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（二）学院评审委员会根据评审实施细则组织评审，确定获奖名单后在学院内进行不少于</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个工作日的公示，公示无异议后，提交学校研究生国家奖学金评审领导小组进行审定。</w:t>
      </w:r>
    </w:p>
    <w:p>
      <w:pPr>
        <w:adjustRightInd w:val="0"/>
        <w:snapToGrid w:val="0"/>
        <w:spacing w:line="580" w:lineRule="exact"/>
        <w:ind w:firstLine="643" w:firstLineChars="200"/>
        <w:rPr>
          <w:rFonts w:hint="eastAsia" w:ascii="仿宋_GB2312" w:hAnsi="黑体" w:eastAsia="仿宋_GB2312"/>
          <w:color w:val="auto"/>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val="en-US" w:eastAsia="zh-CN"/>
        </w:rPr>
        <w:t>六</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hAnsi="黑体" w:eastAsia="仿宋_GB2312"/>
          <w:color w:val="auto"/>
          <w:sz w:val="32"/>
          <w:szCs w:val="32"/>
        </w:rPr>
        <w:t>对研究生国家奖学金评审结果有异议的学生，可在学院公示阶段向学院评审委员会提出申诉，学院评审委员会及时研究并予以答复。如学生对其做出的答复仍存在异议，可在学校公示阶段向学校研究生国家奖学金评审领导小组提请裁决。</w:t>
      </w:r>
    </w:p>
    <w:p>
      <w:pPr>
        <w:spacing w:line="580" w:lineRule="exact"/>
        <w:ind w:firstLine="643" w:firstLineChars="200"/>
        <w:rPr>
          <w:rFonts w:hint="eastAsia" w:ascii="仿宋_GB2312" w:hAnsi="黑体" w:eastAsia="仿宋_GB2312"/>
          <w:color w:val="auto"/>
          <w:sz w:val="32"/>
          <w:szCs w:val="32"/>
        </w:rPr>
      </w:pPr>
      <w:r>
        <w:rPr>
          <w:rFonts w:hint="eastAsia" w:ascii="仿宋_GB2312" w:eastAsia="仿宋_GB2312"/>
          <w:b/>
          <w:bCs/>
          <w:color w:val="auto"/>
          <w:sz w:val="32"/>
          <w:szCs w:val="32"/>
        </w:rPr>
        <w:t>第十</w:t>
      </w:r>
      <w:r>
        <w:rPr>
          <w:rFonts w:hint="eastAsia" w:ascii="仿宋_GB2312" w:eastAsia="仿宋_GB2312"/>
          <w:b/>
          <w:bCs/>
          <w:color w:val="auto"/>
          <w:sz w:val="32"/>
          <w:szCs w:val="32"/>
          <w:lang w:val="en-US" w:eastAsia="zh-CN"/>
        </w:rPr>
        <w:t>七</w:t>
      </w:r>
      <w:r>
        <w:rPr>
          <w:rFonts w:hint="eastAsia" w:ascii="仿宋_GB2312" w:eastAsia="仿宋_GB2312"/>
          <w:b/>
          <w:bCs/>
          <w:color w:val="auto"/>
          <w:sz w:val="32"/>
          <w:szCs w:val="32"/>
        </w:rPr>
        <w:t>条</w:t>
      </w:r>
      <w:r>
        <w:rPr>
          <w:rFonts w:hint="eastAsia" w:ascii="仿宋_GB2312" w:eastAsia="仿宋_GB2312"/>
          <w:color w:val="auto"/>
          <w:sz w:val="32"/>
          <w:szCs w:val="32"/>
        </w:rPr>
        <w:t xml:space="preserve"> 研究生国家奖学金评分</w:t>
      </w:r>
      <w:r>
        <w:rPr>
          <w:rFonts w:hint="eastAsia" w:ascii="仿宋_GB2312" w:eastAsia="仿宋_GB2312"/>
          <w:color w:val="auto"/>
          <w:sz w:val="32"/>
          <w:szCs w:val="32"/>
          <w:lang w:val="en-US" w:eastAsia="zh-CN"/>
        </w:rPr>
        <w:t>标准</w:t>
      </w:r>
      <w:r>
        <w:rPr>
          <w:rFonts w:hint="eastAsia" w:ascii="仿宋_GB2312" w:eastAsia="仿宋_GB2312"/>
          <w:color w:val="auto"/>
          <w:sz w:val="32"/>
          <w:szCs w:val="32"/>
        </w:rPr>
        <w:t>参照</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生命科学与健康工程学院研究生国家奖学金评分细则</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附件</w:t>
      </w:r>
      <w:r>
        <w:rPr>
          <w:rFonts w:hint="eastAsia" w:ascii="仿宋_GB2312" w:eastAsia="仿宋_GB2312"/>
          <w:color w:val="FF0000"/>
          <w:sz w:val="32"/>
          <w:szCs w:val="32"/>
          <w:lang w:eastAsia="zh-CN"/>
        </w:rPr>
        <w:t>）</w:t>
      </w:r>
      <w:r>
        <w:rPr>
          <w:rFonts w:hint="eastAsia" w:ascii="仿宋_GB2312" w:eastAsia="仿宋_GB2312"/>
          <w:color w:val="auto"/>
          <w:sz w:val="32"/>
          <w:szCs w:val="32"/>
        </w:rPr>
        <w:t>。</w:t>
      </w:r>
    </w:p>
    <w:p>
      <w:pPr>
        <w:adjustRightInd w:val="0"/>
        <w:snapToGrid w:val="0"/>
        <w:spacing w:line="580" w:lineRule="exact"/>
        <w:jc w:val="center"/>
        <w:rPr>
          <w:rFonts w:ascii="黑体" w:eastAsia="黑体"/>
          <w:color w:val="auto"/>
          <w:sz w:val="32"/>
          <w:szCs w:val="32"/>
        </w:rPr>
      </w:pPr>
      <w:r>
        <w:rPr>
          <w:rFonts w:hint="eastAsia" w:ascii="黑体" w:eastAsia="黑体"/>
          <w:color w:val="auto"/>
          <w:sz w:val="32"/>
          <w:szCs w:val="32"/>
        </w:rPr>
        <w:t>第</w:t>
      </w:r>
      <w:r>
        <w:rPr>
          <w:rFonts w:hint="eastAsia" w:ascii="黑体" w:eastAsia="黑体"/>
          <w:color w:val="auto"/>
          <w:sz w:val="32"/>
          <w:szCs w:val="32"/>
          <w:lang w:val="en-US" w:eastAsia="zh-CN"/>
        </w:rPr>
        <w:t>六</w:t>
      </w:r>
      <w:r>
        <w:rPr>
          <w:rFonts w:hint="eastAsia" w:ascii="黑体" w:eastAsia="黑体"/>
          <w:color w:val="auto"/>
          <w:sz w:val="32"/>
          <w:szCs w:val="32"/>
        </w:rPr>
        <w:t>章 附则</w:t>
      </w:r>
    </w:p>
    <w:p>
      <w:pPr>
        <w:adjustRightInd w:val="0"/>
        <w:snapToGrid w:val="0"/>
        <w:spacing w:line="580" w:lineRule="exact"/>
        <w:ind w:firstLine="643" w:firstLineChars="200"/>
        <w:rPr>
          <w:rFonts w:ascii="仿宋_GB2312" w:eastAsia="仿宋_GB2312"/>
          <w:color w:val="auto"/>
          <w:spacing w:val="10"/>
          <w:sz w:val="32"/>
          <w:szCs w:val="32"/>
        </w:rPr>
      </w:pPr>
      <w:r>
        <w:rPr>
          <w:rFonts w:hint="eastAsia" w:ascii="仿宋_GB2312" w:hAnsi="Arial" w:eastAsia="仿宋_GB2312" w:cs="Arial"/>
          <w:b/>
          <w:color w:val="auto"/>
          <w:sz w:val="32"/>
          <w:szCs w:val="32"/>
        </w:rPr>
        <w:t>第十</w:t>
      </w:r>
      <w:r>
        <w:rPr>
          <w:rFonts w:hint="eastAsia" w:ascii="仿宋_GB2312" w:hAnsi="Arial" w:eastAsia="仿宋_GB2312" w:cs="Arial"/>
          <w:b/>
          <w:color w:val="auto"/>
          <w:sz w:val="32"/>
          <w:szCs w:val="32"/>
          <w:lang w:val="en-US" w:eastAsia="zh-CN"/>
        </w:rPr>
        <w:t>八</w:t>
      </w:r>
      <w:r>
        <w:rPr>
          <w:rFonts w:hint="eastAsia" w:ascii="仿宋_GB2312" w:hAnsi="Arial" w:eastAsia="仿宋_GB2312" w:cs="Arial"/>
          <w:b/>
          <w:color w:val="auto"/>
          <w:sz w:val="32"/>
          <w:szCs w:val="32"/>
        </w:rPr>
        <w:t>条</w:t>
      </w:r>
      <w:r>
        <w:rPr>
          <w:rFonts w:hint="eastAsia" w:ascii="仿宋_GB2312" w:hAnsi="Arial" w:eastAsia="仿宋_GB2312" w:cs="Arial"/>
          <w:color w:val="auto"/>
          <w:sz w:val="32"/>
          <w:szCs w:val="32"/>
        </w:rPr>
        <w:t xml:space="preserve"> </w:t>
      </w:r>
      <w:r>
        <w:rPr>
          <w:rFonts w:hint="eastAsia" w:ascii="仿宋_GB2312" w:eastAsia="仿宋_GB2312"/>
          <w:color w:val="auto"/>
          <w:spacing w:val="10"/>
          <w:sz w:val="32"/>
          <w:szCs w:val="32"/>
        </w:rPr>
        <w:t>本</w:t>
      </w:r>
      <w:r>
        <w:rPr>
          <w:rFonts w:hint="eastAsia" w:ascii="仿宋_GB2312" w:eastAsia="仿宋_GB2312"/>
          <w:color w:val="auto"/>
          <w:spacing w:val="10"/>
          <w:sz w:val="32"/>
          <w:szCs w:val="32"/>
          <w:lang w:val="en-US" w:eastAsia="zh-CN"/>
        </w:rPr>
        <w:t>细则</w:t>
      </w:r>
      <w:r>
        <w:rPr>
          <w:rFonts w:hint="eastAsia" w:ascii="仿宋_GB2312" w:eastAsia="仿宋_GB2312"/>
          <w:color w:val="auto"/>
          <w:spacing w:val="10"/>
          <w:sz w:val="32"/>
          <w:szCs w:val="32"/>
        </w:rPr>
        <w:t>自发布之日起施行，由生命科学与健康工程学院研究生</w:t>
      </w:r>
      <w:r>
        <w:rPr>
          <w:rFonts w:hint="eastAsia" w:ascii="仿宋_GB2312" w:hAnsi="仿宋_GB2312" w:eastAsia="仿宋_GB2312" w:cs="仿宋_GB2312"/>
          <w:color w:val="auto"/>
          <w:kern w:val="2"/>
          <w:sz w:val="32"/>
          <w:szCs w:val="32"/>
          <w:lang w:bidi="ar"/>
        </w:rPr>
        <w:t>国家奖学金</w:t>
      </w:r>
      <w:r>
        <w:rPr>
          <w:rFonts w:hint="eastAsia" w:ascii="仿宋_GB2312" w:eastAsia="仿宋_GB2312"/>
          <w:color w:val="auto"/>
          <w:spacing w:val="10"/>
          <w:sz w:val="32"/>
          <w:szCs w:val="32"/>
        </w:rPr>
        <w:t>评审委员会负责解释。</w:t>
      </w:r>
    </w:p>
    <w:p>
      <w:pPr>
        <w:spacing w:line="58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本细则未尽事宜按上级相关文件执行。</w:t>
      </w: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生命科学与健康工程学院</w:t>
      </w:r>
    </w:p>
    <w:p>
      <w:pPr>
        <w:spacing w:line="580" w:lineRule="exact"/>
        <w:ind w:firstLine="640" w:firstLineChars="200"/>
        <w:jc w:val="right"/>
        <w:rPr>
          <w:rFonts w:ascii="仿宋_GB2312" w:hAnsi="仿宋_GB2312" w:eastAsia="仿宋_GB2312" w:cs="仿宋_GB2312"/>
          <w:b w:val="0"/>
          <w:bCs w:val="0"/>
          <w:color w:val="FF0000"/>
          <w:sz w:val="32"/>
          <w:szCs w:val="32"/>
        </w:rPr>
        <w:sectPr>
          <w:footerReference r:id="rId3" w:type="default"/>
          <w:pgSz w:w="11906" w:h="16838"/>
          <w:pgMar w:top="2155" w:right="1531" w:bottom="1871" w:left="1531" w:header="851" w:footer="992" w:gutter="0"/>
          <w:cols w:space="425" w:num="1"/>
          <w:docGrid w:type="lines" w:linePitch="312" w:charSpace="0"/>
        </w:sectPr>
      </w:pPr>
      <w:r>
        <w:rPr>
          <w:rFonts w:hint="eastAsia" w:ascii="仿宋_GB2312" w:hAnsi="仿宋_GB2312" w:eastAsia="仿宋_GB2312" w:cs="仿宋_GB2312"/>
          <w:b w:val="0"/>
          <w:bCs w:val="0"/>
          <w:color w:val="FF0000"/>
          <w:sz w:val="32"/>
          <w:szCs w:val="32"/>
        </w:rPr>
        <w:t>202</w:t>
      </w:r>
      <w:r>
        <w:rPr>
          <w:rFonts w:hint="eastAsia" w:ascii="仿宋_GB2312" w:hAnsi="仿宋_GB2312" w:eastAsia="仿宋_GB2312" w:cs="仿宋_GB2312"/>
          <w:b w:val="0"/>
          <w:bCs w:val="0"/>
          <w:color w:val="FF0000"/>
          <w:sz w:val="32"/>
          <w:szCs w:val="32"/>
          <w:lang w:val="en-US" w:eastAsia="zh-CN"/>
        </w:rPr>
        <w:t>4</w:t>
      </w:r>
      <w:r>
        <w:rPr>
          <w:rFonts w:hint="eastAsia" w:ascii="仿宋_GB2312" w:hAnsi="仿宋_GB2312" w:eastAsia="仿宋_GB2312" w:cs="仿宋_GB2312"/>
          <w:b w:val="0"/>
          <w:bCs w:val="0"/>
          <w:color w:val="FF0000"/>
          <w:sz w:val="32"/>
          <w:szCs w:val="32"/>
        </w:rPr>
        <w:t>年</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color w:val="FF0000"/>
          <w:sz w:val="32"/>
          <w:szCs w:val="32"/>
        </w:rPr>
        <w:t>月</w:t>
      </w:r>
      <w:r>
        <w:rPr>
          <w:rFonts w:hint="eastAsia" w:ascii="仿宋_GB2312" w:hAnsi="仿宋_GB2312" w:eastAsia="仿宋_GB2312" w:cs="仿宋_GB2312"/>
          <w:b w:val="0"/>
          <w:bCs w:val="0"/>
          <w:color w:val="FF0000"/>
          <w:sz w:val="32"/>
          <w:szCs w:val="32"/>
          <w:lang w:val="en-US" w:eastAsia="zh-CN"/>
        </w:rPr>
        <w:t>3</w:t>
      </w:r>
      <w:r>
        <w:rPr>
          <w:rFonts w:hint="eastAsia" w:ascii="仿宋_GB2312" w:hAnsi="仿宋_GB2312" w:eastAsia="仿宋_GB2312" w:cs="仿宋_GB2312"/>
          <w:b w:val="0"/>
          <w:bCs w:val="0"/>
          <w:color w:val="FF0000"/>
          <w:sz w:val="32"/>
          <w:szCs w:val="32"/>
        </w:rPr>
        <w:t>日</w:t>
      </w:r>
    </w:p>
    <w:p>
      <w:pPr>
        <w:spacing w:line="580" w:lineRule="exact"/>
        <w:jc w:val="left"/>
        <w:rPr>
          <w:rFonts w:ascii="黑体" w:hAnsi="黑体" w:eastAsia="黑体" w:cs="仿宋_GB2312"/>
          <w:color w:val="auto"/>
          <w:sz w:val="32"/>
          <w:szCs w:val="32"/>
        </w:rPr>
      </w:pPr>
      <w:r>
        <w:rPr>
          <w:rFonts w:hint="eastAsia" w:ascii="黑体" w:hAnsi="黑体" w:eastAsia="黑体" w:cs="仿宋_GB2312"/>
          <w:color w:val="auto"/>
          <w:sz w:val="32"/>
          <w:szCs w:val="32"/>
        </w:rPr>
        <w:t>附件：</w:t>
      </w:r>
    </w:p>
    <w:p>
      <w:pPr>
        <w:spacing w:line="580" w:lineRule="exact"/>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生命科学与健康工程学院研究生国家奖学金评分细则</w:t>
      </w:r>
    </w:p>
    <w:p>
      <w:pPr>
        <w:spacing w:line="580" w:lineRule="exact"/>
        <w:jc w:val="center"/>
        <w:rPr>
          <w:rFonts w:hint="eastAsia" w:ascii="方正大标宋简体" w:hAnsi="方正大标宋简体" w:eastAsia="方正大标宋简体" w:cs="方正大标宋简体"/>
          <w:color w:val="auto"/>
          <w:sz w:val="36"/>
          <w:szCs w:val="36"/>
        </w:rPr>
      </w:pPr>
    </w:p>
    <w:p>
      <w:pPr>
        <w:spacing w:line="580" w:lineRule="exact"/>
        <w:ind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rPr>
        <w:t>一、学习成绩</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加权平均成绩以生命科学与健康工程学院研究生教务办公室提供的</w:t>
      </w:r>
      <w:r>
        <w:rPr>
          <w:rFonts w:hint="eastAsia" w:ascii="仿宋_GB2312" w:hAnsi="仿宋_GB2312" w:eastAsia="仿宋_GB2312" w:cs="仿宋_GB2312"/>
          <w:color w:val="FF0000"/>
          <w:sz w:val="32"/>
          <w:szCs w:val="32"/>
          <w:lang w:val="en-US" w:eastAsia="zh-CN"/>
        </w:rPr>
        <w:t>成绩单</w:t>
      </w:r>
      <w:r>
        <w:rPr>
          <w:rFonts w:hint="eastAsia" w:ascii="仿宋_GB2312" w:hAnsi="仿宋_GB2312" w:eastAsia="仿宋_GB2312" w:cs="仿宋_GB2312"/>
          <w:color w:val="FF0000"/>
          <w:sz w:val="32"/>
          <w:szCs w:val="32"/>
        </w:rPr>
        <w:t>为准。</w:t>
      </w:r>
    </w:p>
    <w:p>
      <w:pPr>
        <w:spacing w:line="580" w:lineRule="exact"/>
        <w:ind w:firstLine="640" w:firstLineChars="200"/>
        <w:rPr>
          <w:rFonts w:ascii="黑体" w:hAnsi="黑体" w:eastAsia="黑体" w:cs="仿宋_GB2312"/>
          <w:color w:val="auto"/>
          <w:sz w:val="32"/>
          <w:szCs w:val="32"/>
        </w:rPr>
      </w:pPr>
      <w:r>
        <w:rPr>
          <w:rFonts w:hint="default" w:ascii="黑体" w:hAnsi="黑体" w:eastAsia="黑体" w:cs="仿宋_GB2312"/>
          <w:color w:val="auto"/>
          <w:sz w:val="32"/>
          <w:szCs w:val="32"/>
          <w:lang w:val="en-US"/>
        </w:rPr>
        <w:t>二</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val="en-US" w:eastAsia="zh-CN"/>
        </w:rPr>
        <w:t>学术</w:t>
      </w:r>
      <w:r>
        <w:rPr>
          <w:rFonts w:hint="eastAsia" w:ascii="黑体" w:hAnsi="黑体" w:eastAsia="黑体" w:cs="仿宋_GB2312"/>
          <w:color w:val="auto"/>
          <w:sz w:val="32"/>
          <w:szCs w:val="32"/>
        </w:rPr>
        <w:t>成果</w:t>
      </w:r>
    </w:p>
    <w:p>
      <w:pPr>
        <w:spacing w:line="580" w:lineRule="exact"/>
        <w:ind w:firstLine="640" w:firstLineChars="200"/>
        <w:rPr>
          <w:rFonts w:hint="eastAsia" w:ascii="仿宋_GB2312" w:hAnsi="仿宋_GB2312" w:eastAsia="仿宋_GB2312" w:cs="仿宋_GB2312"/>
          <w:b/>
          <w:bCs/>
          <w:color w:val="auto"/>
          <w:sz w:val="32"/>
          <w:szCs w:val="32"/>
        </w:rPr>
      </w:pPr>
      <w:r>
        <w:rPr>
          <w:rFonts w:hint="eastAsia" w:ascii="FangSong_GB2312" w:hAnsi="FangSong_GB2312" w:eastAsia="FangSong_GB2312" w:cs="FangSong_GB2312"/>
          <w:color w:val="auto"/>
          <w:sz w:val="32"/>
          <w:szCs w:val="32"/>
        </w:rPr>
        <w:t>论文、专利、学术竞赛获奖、科研项目等科研方面所取得成果必须与</w:t>
      </w:r>
      <w:r>
        <w:rPr>
          <w:rFonts w:hint="eastAsia" w:ascii="FangSong_GB2312" w:hAnsi="FangSong_GB2312" w:eastAsia="FangSong_GB2312" w:cs="FangSong_GB2312"/>
          <w:color w:val="auto"/>
          <w:sz w:val="32"/>
          <w:szCs w:val="32"/>
          <w:lang w:val="en-US" w:eastAsia="zh-CN"/>
        </w:rPr>
        <w:t>学科</w:t>
      </w:r>
      <w:r>
        <w:rPr>
          <w:rFonts w:hint="eastAsia" w:ascii="FangSong_GB2312" w:hAnsi="FangSong_GB2312" w:eastAsia="FangSong_GB2312" w:cs="FangSong_GB2312"/>
          <w:color w:val="auto"/>
          <w:sz w:val="32"/>
          <w:szCs w:val="32"/>
        </w:rPr>
        <w:t>紧密相关。</w:t>
      </w:r>
    </w:p>
    <w:p>
      <w:pPr>
        <w:spacing w:line="58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（一）学术论文及著作</w:t>
      </w:r>
    </w:p>
    <w:p>
      <w:pPr>
        <w:spacing w:line="580" w:lineRule="exact"/>
        <w:jc w:val="center"/>
        <w:rPr>
          <w:rFonts w:ascii="黑体" w:hAnsi="黑体" w:eastAsia="黑体" w:cs="仿宋_GB2312"/>
          <w:color w:val="auto"/>
          <w:sz w:val="24"/>
          <w:szCs w:val="24"/>
        </w:rPr>
      </w:pPr>
      <w:r>
        <w:rPr>
          <w:rFonts w:hint="eastAsia" w:ascii="黑体" w:hAnsi="黑体" w:eastAsia="黑体" w:cs="仿宋_GB2312"/>
          <w:color w:val="auto"/>
          <w:sz w:val="24"/>
          <w:szCs w:val="24"/>
        </w:rPr>
        <w:t>已发表（含已</w:t>
      </w:r>
      <w:r>
        <w:rPr>
          <w:rFonts w:hint="eastAsia" w:ascii="黑体" w:hAnsi="黑体" w:eastAsia="黑体" w:cs="FangSong_GB2312"/>
          <w:b/>
          <w:bCs/>
          <w:color w:val="auto"/>
          <w:sz w:val="24"/>
          <w:szCs w:val="24"/>
        </w:rPr>
        <w:t>正式</w:t>
      </w:r>
      <w:r>
        <w:rPr>
          <w:rFonts w:hint="eastAsia" w:ascii="黑体" w:hAnsi="黑体" w:eastAsia="黑体" w:cs="仿宋_GB2312"/>
          <w:color w:val="auto"/>
          <w:sz w:val="24"/>
          <w:szCs w:val="24"/>
        </w:rPr>
        <w:t>录用）学术论文</w:t>
      </w:r>
      <w:r>
        <w:rPr>
          <w:rFonts w:hint="eastAsia" w:ascii="黑体" w:hAnsi="黑体" w:eastAsia="黑体" w:cs="仿宋_GB2312"/>
          <w:color w:val="auto"/>
          <w:sz w:val="24"/>
          <w:szCs w:val="24"/>
          <w:lang w:val="en-US" w:eastAsia="zh-CN"/>
        </w:rPr>
        <w:t>及著作</w:t>
      </w:r>
      <w:r>
        <w:rPr>
          <w:rFonts w:hint="eastAsia" w:ascii="黑体" w:hAnsi="黑体" w:eastAsia="黑体" w:cs="仿宋_GB2312"/>
          <w:color w:val="auto"/>
          <w:sz w:val="24"/>
          <w:szCs w:val="24"/>
        </w:rPr>
        <w:t>点值表</w:t>
      </w:r>
    </w:p>
    <w:tbl>
      <w:tblPr>
        <w:tblStyle w:val="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72"/>
        <w:gridCol w:w="36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序号</w:t>
            </w:r>
          </w:p>
        </w:tc>
        <w:tc>
          <w:tcPr>
            <w:tcW w:w="2972"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类别</w:t>
            </w:r>
          </w:p>
        </w:tc>
        <w:tc>
          <w:tcPr>
            <w:tcW w:w="3694"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点值</w:t>
            </w:r>
          </w:p>
        </w:tc>
        <w:tc>
          <w:tcPr>
            <w:tcW w:w="1112"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在Ce</w:t>
            </w:r>
            <w:r>
              <w:rPr>
                <w:rFonts w:ascii="仿宋_GB2312" w:hAnsi="仿宋_GB2312" w:eastAsia="仿宋_GB2312" w:cs="仿宋_GB2312"/>
                <w:color w:val="auto"/>
                <w:sz w:val="24"/>
              </w:rPr>
              <w:t xml:space="preserve">ll, Nature, </w:t>
            </w:r>
            <w:r>
              <w:rPr>
                <w:rFonts w:hint="eastAsia" w:ascii="仿宋_GB2312" w:hAnsi="仿宋_GB2312" w:eastAsia="仿宋_GB2312" w:cs="仿宋_GB2312"/>
                <w:color w:val="auto"/>
                <w:sz w:val="24"/>
              </w:rPr>
              <w:t>S</w:t>
            </w:r>
            <w:r>
              <w:rPr>
                <w:rFonts w:ascii="仿宋_GB2312" w:hAnsi="仿宋_GB2312" w:eastAsia="仿宋_GB2312" w:cs="仿宋_GB2312"/>
                <w:color w:val="auto"/>
                <w:sz w:val="24"/>
              </w:rPr>
              <w:t>cience</w:t>
            </w:r>
            <w:r>
              <w:rPr>
                <w:rFonts w:hint="eastAsia" w:ascii="仿宋_GB2312" w:hAnsi="仿宋_GB2312" w:eastAsia="仿宋_GB2312" w:cs="仿宋_GB2312"/>
                <w:color w:val="auto"/>
                <w:sz w:val="24"/>
              </w:rPr>
              <w:t>、L</w:t>
            </w:r>
            <w:r>
              <w:rPr>
                <w:rFonts w:ascii="仿宋_GB2312" w:hAnsi="仿宋_GB2312" w:eastAsia="仿宋_GB2312" w:cs="仿宋_GB2312"/>
                <w:color w:val="auto"/>
                <w:sz w:val="24"/>
              </w:rPr>
              <w:t>ancet</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JAMA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NEJM</w:t>
            </w:r>
            <w:r>
              <w:rPr>
                <w:rFonts w:hint="eastAsia" w:ascii="仿宋_GB2312" w:hAnsi="仿宋_GB2312" w:eastAsia="仿宋_GB2312" w:cs="仿宋_GB2312"/>
                <w:color w:val="auto"/>
                <w:sz w:val="24"/>
              </w:rPr>
              <w:t>发表学术论文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00</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A1类学术论文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0</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A2类学术论文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0</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A3类学术论文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0</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A4类学术论文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3</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A5类学术论文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2</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B1类学术论文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0</w:t>
            </w:r>
          </w:p>
        </w:tc>
        <w:tc>
          <w:tcPr>
            <w:tcW w:w="1112" w:type="dxa"/>
            <w:vAlign w:val="center"/>
          </w:tcPr>
          <w:p>
            <w:pPr>
              <w:spacing w:line="58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2972"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国际会议论文</w:t>
            </w:r>
          </w:p>
        </w:tc>
        <w:tc>
          <w:tcPr>
            <w:tcW w:w="3694"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口头(o</w:t>
            </w:r>
            <w:r>
              <w:rPr>
                <w:rFonts w:ascii="仿宋_GB2312" w:hAnsi="仿宋_GB2312" w:eastAsia="仿宋_GB2312" w:cs="仿宋_GB2312"/>
                <w:color w:val="auto"/>
                <w:sz w:val="24"/>
              </w:rPr>
              <w:t>ral  presentation) 2</w:t>
            </w:r>
          </w:p>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墙报 (</w:t>
            </w:r>
            <w:r>
              <w:rPr>
                <w:rFonts w:ascii="仿宋_GB2312" w:hAnsi="仿宋_GB2312" w:eastAsia="仿宋_GB2312" w:cs="仿宋_GB2312"/>
                <w:color w:val="auto"/>
                <w:sz w:val="24"/>
              </w:rPr>
              <w:t>poster presentation) 1</w:t>
            </w:r>
          </w:p>
        </w:tc>
        <w:tc>
          <w:tcPr>
            <w:tcW w:w="1112" w:type="dxa"/>
            <w:vAlign w:val="center"/>
          </w:tcPr>
          <w:p>
            <w:pPr>
              <w:spacing w:line="580" w:lineRule="exact"/>
              <w:jc w:val="center"/>
              <w:rPr>
                <w:rFonts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总点数</w:t>
            </w:r>
          </w:p>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pacing w:val="-20"/>
                <w:sz w:val="24"/>
              </w:rPr>
              <w:t>不超过</w:t>
            </w:r>
            <w:r>
              <w:rPr>
                <w:rFonts w:ascii="仿宋_GB2312" w:hAnsi="仿宋_GB2312" w:eastAsia="仿宋_GB2312" w:cs="仿宋_GB2312"/>
                <w:color w:val="auto"/>
                <w:spacing w:val="-2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hint="eastAsia" w:ascii="FangSong_GB2312" w:hAnsi="FangSong_GB2312" w:eastAsia="FangSong_GB2312" w:cs="FangSong_GB2312"/>
                <w:color w:val="FF0000"/>
                <w:sz w:val="24"/>
                <w:lang w:val="en-US" w:eastAsia="zh-CN" w:bidi="ar-SA"/>
              </w:rPr>
            </w:pPr>
            <w:r>
              <w:rPr>
                <w:rFonts w:hint="eastAsia" w:ascii="FangSong_GB2312" w:hAnsi="FangSong_GB2312" w:eastAsia="FangSong_GB2312" w:cs="FangSong_GB2312"/>
                <w:color w:val="FF0000"/>
                <w:sz w:val="24"/>
                <w:lang w:val="en-US" w:eastAsia="zh-CN"/>
              </w:rPr>
              <w:t>9</w:t>
            </w:r>
          </w:p>
        </w:tc>
        <w:tc>
          <w:tcPr>
            <w:tcW w:w="2972" w:type="dxa"/>
            <w:vAlign w:val="center"/>
          </w:tcPr>
          <w:p>
            <w:pPr>
              <w:spacing w:line="580" w:lineRule="exact"/>
              <w:jc w:val="center"/>
              <w:rPr>
                <w:rFonts w:hint="eastAsia" w:ascii="FangSong_GB2312" w:hAnsi="FangSong_GB2312" w:eastAsia="FangSong_GB2312" w:cs="FangSong_GB2312"/>
                <w:color w:val="FF0000"/>
                <w:sz w:val="24"/>
                <w:lang w:val="en-US" w:eastAsia="zh-CN" w:bidi="ar-SA"/>
              </w:rPr>
            </w:pPr>
            <w:r>
              <w:rPr>
                <w:rFonts w:hint="eastAsia" w:ascii="FangSong_GB2312" w:hAnsi="FangSong_GB2312" w:eastAsia="FangSong_GB2312" w:cs="FangSong_GB2312"/>
                <w:color w:val="FF0000"/>
                <w:sz w:val="24"/>
                <w:lang w:val="en-US" w:eastAsia="zh-CN"/>
              </w:rPr>
              <w:t>参编学术著作</w:t>
            </w:r>
          </w:p>
        </w:tc>
        <w:tc>
          <w:tcPr>
            <w:tcW w:w="3694" w:type="dxa"/>
            <w:vAlign w:val="center"/>
          </w:tcPr>
          <w:p>
            <w:pPr>
              <w:spacing w:line="580" w:lineRule="exact"/>
              <w:jc w:val="center"/>
              <w:rPr>
                <w:rFonts w:hint="eastAsia" w:ascii="FangSong_GB2312" w:hAnsi="FangSong_GB2312" w:eastAsia="FangSong_GB2312" w:cs="FangSong_GB2312"/>
                <w:color w:val="FF0000"/>
                <w:sz w:val="24"/>
                <w:lang w:val="en-US" w:eastAsia="zh-CN" w:bidi="ar-SA"/>
              </w:rPr>
            </w:pPr>
            <w:r>
              <w:rPr>
                <w:rFonts w:hint="eastAsia" w:ascii="FangSong_GB2312" w:hAnsi="FangSong_GB2312" w:eastAsia="FangSong_GB2312" w:cs="FangSong_GB2312"/>
                <w:color w:val="FF0000"/>
                <w:sz w:val="24"/>
                <w:lang w:val="en-US" w:eastAsia="zh-CN"/>
              </w:rPr>
              <w:t>12</w:t>
            </w:r>
          </w:p>
        </w:tc>
        <w:tc>
          <w:tcPr>
            <w:tcW w:w="1112" w:type="dxa"/>
            <w:vAlign w:val="center"/>
          </w:tcPr>
          <w:p>
            <w:pPr>
              <w:spacing w:line="580" w:lineRule="exact"/>
              <w:jc w:val="center"/>
              <w:rPr>
                <w:rFonts w:hint="eastAsia" w:ascii="FangSong_GB2312" w:hAnsi="FangSong_GB2312" w:eastAsia="FangSong_GB2312" w:cs="FangSong_GB2312"/>
                <w:color w:val="FF0000"/>
                <w:spacing w:val="-20"/>
                <w:sz w:val="24"/>
                <w:lang w:val="en-US" w:eastAsia="zh-CN" w:bidi="ar-SA"/>
              </w:rPr>
            </w:pPr>
          </w:p>
        </w:tc>
      </w:tr>
    </w:tbl>
    <w:p>
      <w:pPr>
        <w:spacing w:line="58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FangSong_GB2312" w:hAnsi="FangSong_GB2312" w:eastAsia="FangSong_GB2312" w:cs="FangSong_GB2312"/>
          <w:color w:val="auto"/>
          <w:sz w:val="32"/>
          <w:szCs w:val="32"/>
        </w:rPr>
        <w:t>学术论文要以研究生为第一作者或导师第一作者、研究生第二作者发表的研究论文或综述论文。</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FangSong_GB2312" w:hAnsi="FangSong_GB2312" w:eastAsia="FangSong_GB2312" w:cs="FangSong_GB2312"/>
          <w:color w:val="auto"/>
          <w:sz w:val="32"/>
          <w:szCs w:val="32"/>
        </w:rPr>
        <w:t>作者第一单位必须为河北工业大学生命科学与健康工程学院。</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学术论文分类参考《河北工业大学学术论文分类办法（试行）》（校政字〔</w:t>
      </w:r>
      <w:r>
        <w:rPr>
          <w:rFonts w:ascii="仿宋_GB2312" w:hAnsi="仿宋_GB2312" w:eastAsia="仿宋_GB2312" w:cs="仿宋_GB2312"/>
          <w:color w:val="auto"/>
          <w:sz w:val="32"/>
          <w:szCs w:val="32"/>
        </w:rPr>
        <w:t>2013〕257 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。论文级别判定以发表见刊时的级别为准。</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国际会议论文佐</w:t>
      </w:r>
      <w:r>
        <w:rPr>
          <w:rFonts w:hint="eastAsia" w:ascii="仿宋_GB2312" w:hAnsi="仿宋_GB2312" w:eastAsia="仿宋_GB2312" w:cs="仿宋_GB2312"/>
          <w:b w:val="0"/>
          <w:bCs w:val="0"/>
          <w:color w:val="auto"/>
          <w:sz w:val="32"/>
          <w:szCs w:val="32"/>
        </w:rPr>
        <w:t>证材料需提供有本人姓名、报告题目的大会秩序册和本人做报告时</w:t>
      </w:r>
      <w:r>
        <w:rPr>
          <w:rFonts w:hint="eastAsia" w:ascii="FangSong_GB2312" w:hAnsi="FangSong_GB2312" w:eastAsia="FangSong_GB2312" w:cs="FangSong_GB2312"/>
          <w:b w:val="0"/>
          <w:bCs w:val="0"/>
          <w:color w:val="auto"/>
          <w:sz w:val="32"/>
          <w:szCs w:val="32"/>
        </w:rPr>
        <w:t>包含会议背景</w:t>
      </w:r>
      <w:r>
        <w:rPr>
          <w:rFonts w:hint="eastAsia" w:ascii="仿宋_GB2312" w:hAnsi="仿宋_GB2312" w:eastAsia="仿宋_GB2312" w:cs="仿宋_GB2312"/>
          <w:b w:val="0"/>
          <w:bCs w:val="0"/>
          <w:color w:val="auto"/>
          <w:sz w:val="32"/>
          <w:szCs w:val="32"/>
        </w:rPr>
        <w:t>的现场照片或网络会议截屏。</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lang w:val="en-US" w:eastAsia="zh-CN"/>
        </w:rPr>
        <w:t>5.参编</w:t>
      </w:r>
      <w:r>
        <w:rPr>
          <w:rFonts w:hint="eastAsia" w:ascii="仿宋_GB2312" w:hAnsi="仿宋_GB2312" w:eastAsia="仿宋_GB2312" w:cs="仿宋_GB2312"/>
          <w:color w:val="FF0000"/>
          <w:sz w:val="32"/>
          <w:szCs w:val="32"/>
        </w:rPr>
        <w:t>学术著作（书籍）章节的署名作者须包括研究生本人。</w:t>
      </w:r>
    </w:p>
    <w:p>
      <w:pPr>
        <w:spacing w:line="580" w:lineRule="exact"/>
        <w:ind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ascii="仿宋_GB2312" w:hAnsi="仿宋_GB2312" w:eastAsia="仿宋_GB2312" w:cs="仿宋_GB2312"/>
          <w:b w:val="0"/>
          <w:bCs w:val="0"/>
          <w:color w:val="auto"/>
          <w:sz w:val="32"/>
          <w:szCs w:val="32"/>
        </w:rPr>
        <w:t>.</w:t>
      </w:r>
      <w:r>
        <w:rPr>
          <w:rFonts w:hint="eastAsia" w:ascii="FangSong_GB2312" w:hAnsi="FangSong_GB2312" w:eastAsia="FangSong_GB2312" w:cs="FangSong_GB2312"/>
          <w:b w:val="0"/>
          <w:bCs w:val="0"/>
          <w:color w:val="auto"/>
          <w:sz w:val="32"/>
          <w:szCs w:val="32"/>
        </w:rPr>
        <w:t>经学院认定学</w:t>
      </w:r>
      <w:r>
        <w:rPr>
          <w:rFonts w:hint="eastAsia" w:ascii="FangSong_GB2312" w:hAnsi="FangSong_GB2312" w:eastAsia="FangSong_GB2312" w:cs="FangSong_GB2312"/>
          <w:color w:val="auto"/>
          <w:sz w:val="32"/>
          <w:szCs w:val="32"/>
        </w:rPr>
        <w:t>术声誉有问题的期刊和</w:t>
      </w:r>
      <w:r>
        <w:rPr>
          <w:rFonts w:hint="eastAsia" w:ascii="FangSong_GB2312" w:hAnsi="FangSong_GB2312" w:eastAsia="FangSong_GB2312" w:cs="FangSong_GB2312"/>
          <w:b w:val="0"/>
          <w:bCs w:val="0"/>
          <w:color w:val="auto"/>
          <w:sz w:val="32"/>
          <w:szCs w:val="32"/>
        </w:rPr>
        <w:t>会议不予认可</w:t>
      </w:r>
      <w:r>
        <w:rPr>
          <w:rFonts w:hint="eastAsia" w:ascii="仿宋_GB2312" w:hAnsi="仿宋_GB2312" w:eastAsia="仿宋_GB2312" w:cs="仿宋_GB2312"/>
          <w:b w:val="0"/>
          <w:bCs w:val="0"/>
          <w:color w:val="auto"/>
          <w:sz w:val="32"/>
          <w:szCs w:val="32"/>
        </w:rPr>
        <w:t>。</w:t>
      </w:r>
    </w:p>
    <w:p>
      <w:pPr>
        <w:spacing w:line="58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（二）科研项目</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科研项目只记个人申请的项目，获得个人省级以上项目的其他条件符合要求的认定为有资格，纵向项目以科研院出具的证明为准，每人上报的科研项目最多不超2项，横向项目不加分。要求如下：</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纵向项目分为国家级项目每项计</w:t>
      </w:r>
      <w:r>
        <w:rPr>
          <w:rFonts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rPr>
        <w:t>点、省部级项目每项计</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点、厅局级项目每项计1</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点；经学院认定的厅局级以下项目每项计</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点；省部级重大专项视为国家级，单项省部级资助金额（不含自筹）达到120万元视为国家级；</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.每个项目需提供项目任务书，任务书中项目负责人(或申请人)须为学生本人，指导教师为学生导师。</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以团队获批的项目，负责人按1</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%计点数，排名第二按</w:t>
      </w:r>
      <w:r>
        <w:rPr>
          <w:rFonts w:ascii="仿宋_GB2312" w:hAnsi="仿宋_GB2312" w:eastAsia="仿宋_GB2312" w:cs="仿宋_GB2312"/>
          <w:color w:val="auto"/>
          <w:sz w:val="32"/>
          <w:szCs w:val="32"/>
        </w:rPr>
        <w:t>40</w:t>
      </w:r>
      <w:r>
        <w:rPr>
          <w:rFonts w:hint="eastAsia" w:ascii="仿宋_GB2312" w:hAnsi="仿宋_GB2312" w:eastAsia="仿宋_GB2312" w:cs="仿宋_GB2312"/>
          <w:color w:val="auto"/>
          <w:sz w:val="32"/>
          <w:szCs w:val="32"/>
        </w:rPr>
        <w:t>%计点数，排名第三按2</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%计点数。</w:t>
      </w:r>
    </w:p>
    <w:p>
      <w:pPr>
        <w:spacing w:line="580" w:lineRule="exact"/>
        <w:ind w:firstLine="643" w:firstLineChars="200"/>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rPr>
        <w:t>（</w:t>
      </w:r>
      <w:r>
        <w:rPr>
          <w:rFonts w:hint="eastAsia" w:ascii="仿宋_GB2312" w:hAnsi="黑体" w:eastAsia="仿宋_GB2312" w:cs="仿宋_GB2312"/>
          <w:b/>
          <w:bCs/>
          <w:color w:val="auto"/>
          <w:sz w:val="32"/>
          <w:szCs w:val="32"/>
          <w:lang w:val="en-US" w:eastAsia="zh-CN"/>
        </w:rPr>
        <w:t>三</w:t>
      </w:r>
      <w:r>
        <w:rPr>
          <w:rFonts w:hint="eastAsia" w:ascii="仿宋_GB2312" w:hAnsi="黑体" w:eastAsia="仿宋_GB2312" w:cs="仿宋_GB2312"/>
          <w:b/>
          <w:bCs/>
          <w:color w:val="auto"/>
          <w:sz w:val="32"/>
          <w:szCs w:val="32"/>
        </w:rPr>
        <w:t>）大学生</w:t>
      </w:r>
      <w:r>
        <w:rPr>
          <w:rFonts w:hint="eastAsia" w:ascii="FangSong_GB2312" w:hAnsi="FangSong_GB2312" w:eastAsia="FangSong_GB2312" w:cs="FangSong_GB2312"/>
          <w:b/>
          <w:bCs/>
          <w:color w:val="FF0000"/>
          <w:sz w:val="32"/>
          <w:szCs w:val="32"/>
          <w:lang w:val="en-US" w:eastAsia="zh-CN"/>
        </w:rPr>
        <w:t>学术类</w:t>
      </w:r>
      <w:r>
        <w:rPr>
          <w:rFonts w:hint="eastAsia" w:ascii="仿宋_GB2312" w:hAnsi="黑体" w:eastAsia="仿宋_GB2312" w:cs="仿宋_GB2312"/>
          <w:b/>
          <w:bCs/>
          <w:color w:val="auto"/>
          <w:sz w:val="32"/>
          <w:szCs w:val="32"/>
        </w:rPr>
        <w:t>竞赛</w:t>
      </w:r>
    </w:p>
    <w:p>
      <w:pPr>
        <w:spacing w:line="580" w:lineRule="exact"/>
        <w:ind w:firstLine="640" w:firstLineChars="200"/>
        <w:rPr>
          <w:rFonts w:hint="eastAsia" w:ascii="仿宋_GB2312" w:hAnsi="黑体" w:eastAsia="仿宋_GB2312" w:cs="仿宋_GB2312"/>
          <w:b w:val="0"/>
          <w:bCs w:val="0"/>
          <w:color w:val="auto"/>
          <w:sz w:val="32"/>
          <w:szCs w:val="32"/>
        </w:rPr>
      </w:pPr>
      <w:r>
        <w:rPr>
          <w:rFonts w:hint="eastAsia" w:ascii="FangSong_GB2312" w:hAnsi="FangSong_GB2312" w:eastAsia="FangSong_GB2312" w:cs="FangSong_GB2312"/>
          <w:b w:val="0"/>
          <w:bCs w:val="0"/>
          <w:color w:val="auto"/>
          <w:sz w:val="32"/>
          <w:szCs w:val="32"/>
        </w:rPr>
        <w:t>参评竞赛项目学生负责人（证书排名第一）所在单位须为生命科学与健康工程学院。</w:t>
      </w:r>
    </w:p>
    <w:p>
      <w:pPr>
        <w:spacing w:line="580" w:lineRule="exact"/>
        <w:jc w:val="center"/>
        <w:rPr>
          <w:rFonts w:ascii="黑体" w:hAnsi="黑体" w:eastAsia="黑体" w:cs="仿宋_GB2312"/>
          <w:color w:val="auto"/>
          <w:sz w:val="24"/>
          <w:szCs w:val="24"/>
        </w:rPr>
      </w:pPr>
      <w:r>
        <w:rPr>
          <w:rFonts w:hint="eastAsia" w:ascii="黑体" w:hAnsi="黑体" w:eastAsia="黑体" w:cs="仿宋_GB2312"/>
          <w:color w:val="auto"/>
          <w:sz w:val="24"/>
          <w:szCs w:val="24"/>
        </w:rPr>
        <w:t>大学生</w:t>
      </w:r>
      <w:r>
        <w:rPr>
          <w:rFonts w:hint="eastAsia" w:ascii="黑体" w:hAnsi="黑体" w:eastAsia="黑体" w:cs="FangSong_GB2312"/>
          <w:color w:val="FF0000"/>
          <w:sz w:val="24"/>
          <w:szCs w:val="24"/>
          <w:lang w:val="en-US" w:eastAsia="zh-CN"/>
        </w:rPr>
        <w:t>学术类</w:t>
      </w:r>
      <w:r>
        <w:rPr>
          <w:rFonts w:hint="eastAsia" w:ascii="黑体" w:hAnsi="黑体" w:eastAsia="黑体" w:cs="仿宋_GB2312"/>
          <w:color w:val="auto"/>
          <w:sz w:val="24"/>
          <w:szCs w:val="24"/>
        </w:rPr>
        <w:t>竞赛点值表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47"/>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1" w:type="dxa"/>
            <w:tcBorders>
              <w:tl2br w:val="single" w:color="auto" w:sz="4" w:space="0"/>
            </w:tcBorders>
            <w:vAlign w:val="center"/>
          </w:tcPr>
          <w:p>
            <w:pPr>
              <w:snapToGrid w:val="0"/>
              <w:spacing w:line="580" w:lineRule="exact"/>
              <w:ind w:firstLine="480" w:firstLineChars="200"/>
              <w:rPr>
                <w:rFonts w:ascii="黑体" w:hAnsi="黑体" w:eastAsia="黑体" w:cs="仿宋_GB2312"/>
                <w:color w:val="auto"/>
                <w:sz w:val="24"/>
              </w:rPr>
            </w:pPr>
            <w:r>
              <w:rPr>
                <w:rFonts w:hint="eastAsia" w:ascii="黑体" w:hAnsi="黑体" w:eastAsia="黑体" w:cs="仿宋_GB2312"/>
                <w:color w:val="auto"/>
                <w:sz w:val="24"/>
              </w:rPr>
              <w:t>等级</w:t>
            </w:r>
          </w:p>
          <w:p>
            <w:pPr>
              <w:spacing w:line="580" w:lineRule="exact"/>
              <w:rPr>
                <w:rFonts w:ascii="黑体" w:hAnsi="黑体" w:eastAsia="黑体" w:cs="仿宋_GB2312"/>
                <w:color w:val="auto"/>
                <w:sz w:val="24"/>
              </w:rPr>
            </w:pPr>
            <w:r>
              <w:rPr>
                <w:rFonts w:hint="eastAsia" w:ascii="黑体" w:hAnsi="黑体" w:eastAsia="黑体" w:cs="仿宋_GB2312"/>
                <w:color w:val="auto"/>
                <w:sz w:val="24"/>
              </w:rPr>
              <w:t>类别</w:t>
            </w:r>
          </w:p>
        </w:tc>
        <w:tc>
          <w:tcPr>
            <w:tcW w:w="2047"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国家级特等奖</w:t>
            </w:r>
          </w:p>
        </w:tc>
        <w:tc>
          <w:tcPr>
            <w:tcW w:w="1659"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国家级一等奖</w:t>
            </w:r>
          </w:p>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（金奖）</w:t>
            </w:r>
          </w:p>
        </w:tc>
        <w:tc>
          <w:tcPr>
            <w:tcW w:w="1659"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国家级二等奖</w:t>
            </w:r>
          </w:p>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（银奖）</w:t>
            </w:r>
          </w:p>
        </w:tc>
        <w:tc>
          <w:tcPr>
            <w:tcW w:w="1660" w:type="dxa"/>
            <w:vAlign w:val="center"/>
          </w:tcPr>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国家级三等奖</w:t>
            </w:r>
          </w:p>
          <w:p>
            <w:pPr>
              <w:spacing w:line="580" w:lineRule="exact"/>
              <w:jc w:val="center"/>
              <w:rPr>
                <w:rFonts w:ascii="黑体" w:hAnsi="黑体" w:eastAsia="黑体" w:cs="仿宋_GB2312"/>
                <w:color w:val="auto"/>
                <w:sz w:val="24"/>
              </w:rPr>
            </w:pPr>
            <w:r>
              <w:rPr>
                <w:rFonts w:hint="eastAsia" w:ascii="黑体" w:hAnsi="黑体" w:eastAsia="黑体" w:cs="仿宋_GB2312"/>
                <w:color w:val="auto"/>
                <w:sz w:val="24"/>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A</w:t>
            </w:r>
          </w:p>
        </w:tc>
        <w:tc>
          <w:tcPr>
            <w:tcW w:w="2047"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00</w:t>
            </w:r>
          </w:p>
        </w:tc>
        <w:tc>
          <w:tcPr>
            <w:tcW w:w="1659"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50</w:t>
            </w:r>
          </w:p>
        </w:tc>
        <w:tc>
          <w:tcPr>
            <w:tcW w:w="1659"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5</w:t>
            </w:r>
          </w:p>
        </w:tc>
        <w:tc>
          <w:tcPr>
            <w:tcW w:w="1660"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B</w:t>
            </w:r>
          </w:p>
        </w:tc>
        <w:tc>
          <w:tcPr>
            <w:tcW w:w="2047"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45</w:t>
            </w:r>
          </w:p>
        </w:tc>
        <w:tc>
          <w:tcPr>
            <w:tcW w:w="1659"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0</w:t>
            </w:r>
          </w:p>
        </w:tc>
        <w:tc>
          <w:tcPr>
            <w:tcW w:w="1659"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30</w:t>
            </w:r>
          </w:p>
        </w:tc>
        <w:tc>
          <w:tcPr>
            <w:tcW w:w="1660"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C</w:t>
            </w:r>
          </w:p>
        </w:tc>
        <w:tc>
          <w:tcPr>
            <w:tcW w:w="2047"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30</w:t>
            </w:r>
          </w:p>
        </w:tc>
        <w:tc>
          <w:tcPr>
            <w:tcW w:w="1659"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25</w:t>
            </w:r>
          </w:p>
        </w:tc>
        <w:tc>
          <w:tcPr>
            <w:tcW w:w="1659"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20</w:t>
            </w:r>
          </w:p>
        </w:tc>
        <w:tc>
          <w:tcPr>
            <w:tcW w:w="1660" w:type="dxa"/>
            <w:vAlign w:val="center"/>
          </w:tcPr>
          <w:p>
            <w:pPr>
              <w:spacing w:line="580" w:lineRule="exact"/>
              <w:jc w:val="center"/>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5</w:t>
            </w:r>
          </w:p>
        </w:tc>
      </w:tr>
    </w:tbl>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未列入《河北工业大学大学生竞赛指导目录》（参考河北工大〔2021〕211</w:t>
      </w:r>
      <w:r>
        <w:rPr>
          <w:rFonts w:hint="eastAsia" w:ascii="仿宋_GB2312" w:hAnsi="仿宋_GB2312" w:eastAsia="仿宋_GB2312" w:cs="仿宋_GB2312"/>
          <w:b w:val="0"/>
          <w:bCs w:val="0"/>
          <w:color w:val="auto"/>
          <w:sz w:val="32"/>
          <w:szCs w:val="32"/>
        </w:rPr>
        <w:t>号文件）的</w:t>
      </w:r>
      <w:r>
        <w:rPr>
          <w:rFonts w:hint="eastAsia" w:ascii="仿宋_GB2312" w:hAnsi="仿宋_GB2312" w:eastAsia="仿宋_GB2312" w:cs="仿宋_GB2312"/>
          <w:b w:val="0"/>
          <w:bCs w:val="0"/>
          <w:color w:val="FF0000"/>
          <w:sz w:val="32"/>
          <w:szCs w:val="32"/>
          <w:lang w:val="en-US" w:eastAsia="zh-CN"/>
        </w:rPr>
        <w:t>具有学院学科特色的</w:t>
      </w:r>
      <w:r>
        <w:rPr>
          <w:rFonts w:hint="eastAsia" w:ascii="仿宋_GB2312" w:hAnsi="仿宋_GB2312" w:eastAsia="仿宋_GB2312" w:cs="仿宋_GB2312"/>
          <w:b w:val="0"/>
          <w:bCs w:val="0"/>
          <w:color w:val="FF0000"/>
          <w:sz w:val="32"/>
          <w:szCs w:val="32"/>
        </w:rPr>
        <w:t>省部级以上</w:t>
      </w:r>
      <w:r>
        <w:rPr>
          <w:rFonts w:hint="eastAsia" w:ascii="仿宋_GB2312" w:hAnsi="仿宋_GB2312" w:eastAsia="仿宋_GB2312" w:cs="仿宋_GB2312"/>
          <w:b w:val="0"/>
          <w:bCs w:val="0"/>
          <w:color w:val="FF0000"/>
          <w:sz w:val="32"/>
          <w:szCs w:val="32"/>
          <w:lang w:val="en-US" w:eastAsia="zh-CN"/>
        </w:rPr>
        <w:t>学术类</w:t>
      </w:r>
      <w:r>
        <w:rPr>
          <w:rFonts w:hint="eastAsia" w:ascii="仿宋_GB2312" w:hAnsi="仿宋_GB2312" w:eastAsia="仿宋_GB2312" w:cs="仿宋_GB2312"/>
          <w:b w:val="0"/>
          <w:bCs w:val="0"/>
          <w:color w:val="FF0000"/>
          <w:sz w:val="32"/>
          <w:szCs w:val="32"/>
        </w:rPr>
        <w:t>竞赛</w:t>
      </w:r>
      <w:r>
        <w:rPr>
          <w:rFonts w:hint="eastAsia" w:ascii="仿宋_GB2312" w:hAnsi="仿宋_GB2312" w:eastAsia="仿宋_GB2312" w:cs="仿宋_GB2312"/>
          <w:b w:val="0"/>
          <w:bCs w:val="0"/>
          <w:color w:val="auto"/>
          <w:sz w:val="32"/>
          <w:szCs w:val="32"/>
        </w:rPr>
        <w:t>，经学院认定后，按C类国赛加分标准35%记点数。</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.每个竞赛项目参赛学生按证书排名顺序计点数：第一名按100%计点数，第二名按</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0%计点数，第三名按</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0%计点数。</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.国赛对应的省赛获奖按国赛加分标准</w:t>
      </w:r>
      <w:r>
        <w:rPr>
          <w:rFonts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t>计点数。</w:t>
      </w:r>
    </w:p>
    <w:p>
      <w:pPr>
        <w:spacing w:line="58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同一竞赛项目参加多项、多级别竞赛按最高点值标准计1项，不可累加。</w:t>
      </w:r>
    </w:p>
    <w:p>
      <w:pPr>
        <w:spacing w:line="58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）专利与软件著作权</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所取得的成果必须与学科紧密相关，发明专利每人最多计3项，其他每人最多计1项。</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1.获得授权发明专利每项计2</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点，只有公开号每项计8点，受理阶段不计点数；获得授权实用新型专利或软件著作权每项计5点。</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2.河北工业大学须为第一申请人（专利权人、著作权人），学生排名第一或者导师排名第一，学生排名第二。</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须提供证书或国家知识产权局网络检索结果，并经导师签字确认。</w:t>
      </w:r>
    </w:p>
    <w:p>
      <w:pPr>
        <w:spacing w:line="580" w:lineRule="exact"/>
        <w:ind w:firstLine="640" w:firstLineChars="200"/>
        <w:rPr>
          <w:rFonts w:ascii="黑体" w:hAnsi="黑体" w:eastAsia="黑体" w:cs="仿宋_GB2312"/>
          <w:color w:val="auto"/>
          <w:sz w:val="32"/>
          <w:szCs w:val="32"/>
        </w:rPr>
      </w:pPr>
      <w:r>
        <w:rPr>
          <w:rFonts w:hint="default" w:ascii="黑体" w:hAnsi="黑体" w:eastAsia="黑体" w:cs="仿宋_GB2312"/>
          <w:color w:val="auto"/>
          <w:sz w:val="32"/>
          <w:szCs w:val="32"/>
          <w:lang w:val="en-US"/>
        </w:rPr>
        <w:t>三</w:t>
      </w:r>
      <w:r>
        <w:rPr>
          <w:rFonts w:hint="eastAsia" w:ascii="黑体" w:hAnsi="黑体" w:eastAsia="黑体" w:cs="仿宋_GB2312"/>
          <w:color w:val="auto"/>
          <w:sz w:val="32"/>
          <w:szCs w:val="32"/>
        </w:rPr>
        <w:t>、第二课堂</w:t>
      </w:r>
    </w:p>
    <w:p>
      <w:pPr>
        <w:spacing w:line="58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（一）教师评价</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导师、研究生辅导员根据学生思想品德、学习科研等进行评价，导师可赋最高点值为10点，研究生辅导员可赋最高点值为10点。</w:t>
      </w:r>
    </w:p>
    <w:p>
      <w:pPr>
        <w:spacing w:line="58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（二）其他评价</w:t>
      </w:r>
    </w:p>
    <w:p>
      <w:pPr>
        <w:spacing w:line="580" w:lineRule="exact"/>
        <w:ind w:firstLine="640" w:firstLineChars="200"/>
        <w:rPr>
          <w:rFonts w:hint="eastAsia" w:ascii="FangSong_GB2312" w:hAnsi="FangSong_GB2312" w:eastAsia="FangSong_GB2312" w:cs="FangSong_GB2312"/>
          <w:color w:val="auto"/>
          <w:sz w:val="32"/>
          <w:szCs w:val="32"/>
        </w:rPr>
      </w:pPr>
      <w:r>
        <w:rPr>
          <w:rFonts w:hint="eastAsia" w:ascii="仿宋_GB2312" w:hAnsi="仿宋_GB2312" w:eastAsia="仿宋_GB2312" w:cs="仿宋_GB2312"/>
          <w:color w:val="auto"/>
          <w:sz w:val="32"/>
          <w:szCs w:val="32"/>
        </w:rPr>
        <w:t>其他评价包含社会工作、实践服务、体育素质、文化艺术</w:t>
      </w:r>
      <w:r>
        <w:rPr>
          <w:rFonts w:hint="eastAsia" w:ascii="FangSong_GB2312" w:hAnsi="FangSong_GB2312" w:eastAsia="FangSong_GB2312" w:cs="FangSong_GB2312"/>
          <w:color w:val="auto"/>
          <w:sz w:val="32"/>
          <w:szCs w:val="32"/>
        </w:rPr>
        <w:t>等方面。</w:t>
      </w:r>
    </w:p>
    <w:p>
      <w:pPr>
        <w:spacing w:line="240" w:lineRule="auto"/>
        <w:ind w:firstLine="0" w:firstLineChars="0"/>
        <w:jc w:val="left"/>
        <w:rPr>
          <w:rFonts w:hint="default" w:ascii="黑体" w:hAnsi="黑体" w:eastAsia="黑体" w:cs="FangSong_GB2312"/>
          <w:b w:val="0"/>
          <w:bCs w:val="0"/>
          <w:color w:val="auto"/>
          <w:sz w:val="24"/>
          <w:szCs w:val="24"/>
          <w:lang w:val="en-US"/>
        </w:rPr>
      </w:pPr>
      <w:r>
        <w:rPr>
          <w:rFonts w:hint="default" w:ascii="黑体" w:hAnsi="黑体" w:eastAsia="黑体" w:cs="FangSong_GB2312"/>
          <w:b w:val="0"/>
          <w:bCs w:val="0"/>
          <w:color w:val="auto"/>
          <w:sz w:val="24"/>
          <w:szCs w:val="24"/>
          <w:lang w:val="en-US"/>
        </w:rPr>
        <w:br w:type="page"/>
      </w:r>
    </w:p>
    <w:p>
      <w:pPr>
        <w:spacing w:line="580" w:lineRule="exact"/>
        <w:ind w:firstLine="0" w:firstLineChars="0"/>
        <w:jc w:val="center"/>
        <w:rPr>
          <w:rFonts w:hint="eastAsia" w:ascii="黑体" w:hAnsi="黑体" w:eastAsia="黑体" w:cs="FangSong_GB2312"/>
          <w:b w:val="0"/>
          <w:bCs w:val="0"/>
          <w:color w:val="auto"/>
          <w:sz w:val="24"/>
          <w:szCs w:val="24"/>
        </w:rPr>
      </w:pPr>
      <w:r>
        <w:rPr>
          <w:rFonts w:hint="default" w:ascii="黑体" w:hAnsi="黑体" w:eastAsia="黑体" w:cs="FangSong_GB2312"/>
          <w:b w:val="0"/>
          <w:bCs w:val="0"/>
          <w:color w:val="auto"/>
          <w:sz w:val="24"/>
          <w:szCs w:val="24"/>
          <w:lang w:val="en-US"/>
        </w:rPr>
        <w:t>社会</w:t>
      </w:r>
      <w:r>
        <w:rPr>
          <w:rFonts w:hint="eastAsia" w:ascii="黑体" w:hAnsi="黑体" w:eastAsia="黑体" w:cs="FangSong_GB2312"/>
          <w:b w:val="0"/>
          <w:bCs w:val="0"/>
          <w:color w:val="auto"/>
          <w:sz w:val="24"/>
          <w:szCs w:val="24"/>
        </w:rPr>
        <w:t>工作、实践服务、各类活动点值表</w:t>
      </w:r>
    </w:p>
    <w:tbl>
      <w:tblPr>
        <w:tblStyle w:val="4"/>
        <w:tblW w:w="4997" w:type="pct"/>
        <w:tblInd w:w="0" w:type="dxa"/>
        <w:tblLayout w:type="autofit"/>
        <w:tblCellMar>
          <w:top w:w="0" w:type="dxa"/>
          <w:left w:w="108" w:type="dxa"/>
          <w:bottom w:w="0" w:type="dxa"/>
          <w:right w:w="108" w:type="dxa"/>
        </w:tblCellMar>
      </w:tblPr>
      <w:tblGrid>
        <w:gridCol w:w="1100"/>
        <w:gridCol w:w="2351"/>
        <w:gridCol w:w="1605"/>
        <w:gridCol w:w="875"/>
        <w:gridCol w:w="438"/>
        <w:gridCol w:w="2686"/>
      </w:tblGrid>
      <w:tr>
        <w:tblPrEx>
          <w:tblCellMar>
            <w:top w:w="0" w:type="dxa"/>
            <w:left w:w="108" w:type="dxa"/>
            <w:bottom w:w="0" w:type="dxa"/>
            <w:right w:w="108" w:type="dxa"/>
          </w:tblCellMar>
        </w:tblPrEx>
        <w:trPr>
          <w:trHeight w:val="600" w:hRule="atLeast"/>
        </w:trPr>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类别</w:t>
            </w:r>
          </w:p>
        </w:tc>
        <w:tc>
          <w:tcPr>
            <w:tcW w:w="29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标准</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备注</w:t>
            </w: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社会工作</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校、院研究生会</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主席</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1.工作时间一学期按50%记点数；社会工作点数上限为20；</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2.加分项必须是所评学年所任的职务；</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3.校研会任职需提供任职证明。</w:t>
            </w: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部长、副部长</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lang w:eastAsia="zh-CN"/>
              </w:rPr>
            </w:pPr>
            <w:r>
              <w:rPr>
                <w:rFonts w:hint="eastAsia" w:ascii="仿宋_GB2312" w:hAnsi="仿宋_GB2312" w:eastAsia="仿宋_GB2312" w:cs="仿宋_GB2312"/>
                <w:b w:val="0"/>
                <w:bCs w:val="0"/>
                <w:color w:val="FF0000"/>
                <w:kern w:val="0"/>
                <w:szCs w:val="21"/>
                <w:lang w:val="en-US" w:eastAsia="zh-CN" w:bidi="ar"/>
              </w:rPr>
              <w:t>6</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部员</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党支部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书记、副书记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支委</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000000" w:sz="4" w:space="0"/>
              <w:left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班级</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 w:val="21"/>
                <w:szCs w:val="21"/>
                <w:lang w:val="en-US" w:eastAsia="zh-CN" w:bidi="ar-SA"/>
              </w:rPr>
            </w:pPr>
            <w:r>
              <w:rPr>
                <w:rFonts w:hint="eastAsia" w:ascii="仿宋_GB2312" w:hAnsi="仿宋_GB2312" w:eastAsia="仿宋_GB2312" w:cs="仿宋_GB2312"/>
                <w:b w:val="0"/>
                <w:bCs w:val="0"/>
                <w:color w:val="auto"/>
                <w:kern w:val="0"/>
                <w:szCs w:val="21"/>
                <w:lang w:bidi="ar"/>
              </w:rPr>
              <w:t>班长、团支书</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 w:val="21"/>
                <w:szCs w:val="21"/>
                <w:lang w:val="en-US" w:eastAsia="zh-CN" w:bidi="ar-SA"/>
              </w:rPr>
            </w:pPr>
            <w:r>
              <w:rPr>
                <w:rFonts w:hint="eastAsia" w:ascii="仿宋_GB2312" w:hAnsi="仿宋_GB2312" w:eastAsia="仿宋_GB2312" w:cs="仿宋_GB2312"/>
                <w:b w:val="0"/>
                <w:bCs w:val="0"/>
                <w:color w:val="auto"/>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 w:val="21"/>
                <w:szCs w:val="21"/>
                <w:lang w:val="en-US" w:eastAsia="zh-CN" w:bidi="ar-SA"/>
              </w:rPr>
            </w:pPr>
            <w:r>
              <w:rPr>
                <w:rFonts w:hint="eastAsia" w:ascii="仿宋_GB2312" w:hAnsi="仿宋_GB2312" w:eastAsia="仿宋_GB2312" w:cs="仿宋_GB2312"/>
                <w:b w:val="0"/>
                <w:bCs w:val="0"/>
                <w:color w:val="auto"/>
                <w:kern w:val="0"/>
                <w:szCs w:val="21"/>
                <w:lang w:bidi="ar"/>
              </w:rPr>
              <w:t>其他班委</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 w:val="21"/>
                <w:szCs w:val="21"/>
                <w:lang w:val="en-US" w:eastAsia="zh-CN" w:bidi="ar-SA"/>
              </w:rPr>
            </w:pPr>
            <w:r>
              <w:rPr>
                <w:rFonts w:hint="eastAsia" w:ascii="仿宋_GB2312" w:hAnsi="仿宋_GB2312" w:eastAsia="仿宋_GB2312" w:cs="仿宋_GB2312"/>
                <w:b w:val="0"/>
                <w:bCs w:val="0"/>
                <w:color w:val="auto"/>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社区</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楼长、层长</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社会工作荣誉称号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先进个人（优团、优干、三好学生、优秀共产党员、学术之星等）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先进集体（先进班级体、优秀团支部等）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FF0000"/>
                <w:szCs w:val="21"/>
                <w:lang w:val="en-US" w:eastAsia="zh-CN"/>
              </w:rPr>
              <w:t>获评学生社区卫生标兵宿舍称号每次按院级先进集体50%记点数。</w:t>
            </w: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院级</w:t>
            </w:r>
          </w:p>
        </w:tc>
        <w:tc>
          <w:tcPr>
            <w:tcW w:w="72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w:t>
            </w:r>
          </w:p>
        </w:tc>
        <w:tc>
          <w:tcPr>
            <w:tcW w:w="14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实践服务</w:t>
            </w:r>
          </w:p>
        </w:tc>
        <w:tc>
          <w:tcPr>
            <w:tcW w:w="1298"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社会实践</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每项</w:t>
            </w:r>
          </w:p>
        </w:tc>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14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以学校和学院公布名单为准，社会实践点数上限为9。</w:t>
            </w: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auto" w:sz="4" w:space="0"/>
              <w:bottom w:val="single" w:color="auto"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志愿服务（以志愿汇记录时长为准）</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FF0000"/>
                <w:kern w:val="0"/>
                <w:szCs w:val="21"/>
                <w:lang w:val="en-US" w:eastAsia="zh-CN" w:bidi="ar"/>
              </w:rPr>
              <w:t>二十</w:t>
            </w:r>
            <w:r>
              <w:rPr>
                <w:rFonts w:hint="eastAsia" w:ascii="仿宋_GB2312" w:hAnsi="仿宋_GB2312" w:eastAsia="仿宋_GB2312" w:cs="仿宋_GB2312"/>
                <w:b w:val="0"/>
                <w:bCs w:val="0"/>
                <w:color w:val="FF0000"/>
                <w:kern w:val="0"/>
                <w:szCs w:val="21"/>
                <w:lang w:bidi="ar"/>
              </w:rPr>
              <w:t>小时及以上</w:t>
            </w:r>
          </w:p>
        </w:tc>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二十</w:t>
            </w:r>
            <w:r>
              <w:rPr>
                <w:rFonts w:hint="eastAsia" w:ascii="仿宋_GB2312" w:hAnsi="仿宋_GB2312" w:eastAsia="仿宋_GB2312" w:cs="仿宋_GB2312"/>
                <w:b w:val="0"/>
                <w:bCs w:val="0"/>
                <w:color w:val="FF0000"/>
                <w:kern w:val="0"/>
                <w:szCs w:val="21"/>
                <w:lang w:bidi="ar"/>
              </w:rPr>
              <w:t>到</w:t>
            </w:r>
            <w:r>
              <w:rPr>
                <w:rFonts w:hint="eastAsia" w:ascii="仿宋_GB2312" w:hAnsi="仿宋_GB2312" w:eastAsia="仿宋_GB2312" w:cs="仿宋_GB2312"/>
                <w:b w:val="0"/>
                <w:bCs w:val="0"/>
                <w:color w:val="FF0000"/>
                <w:kern w:val="0"/>
                <w:szCs w:val="21"/>
                <w:lang w:val="en-US" w:eastAsia="zh-CN" w:bidi="ar"/>
              </w:rPr>
              <w:t>十</w:t>
            </w:r>
            <w:r>
              <w:rPr>
                <w:rFonts w:hint="eastAsia" w:ascii="仿宋_GB2312" w:hAnsi="仿宋_GB2312" w:eastAsia="仿宋_GB2312" w:cs="仿宋_GB2312"/>
                <w:b w:val="0"/>
                <w:bCs w:val="0"/>
                <w:color w:val="FF0000"/>
                <w:kern w:val="0"/>
                <w:szCs w:val="21"/>
                <w:lang w:bidi="ar"/>
              </w:rPr>
              <w:t>小时</w:t>
            </w:r>
          </w:p>
        </w:tc>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4</w:t>
            </w:r>
          </w:p>
        </w:tc>
        <w:tc>
          <w:tcPr>
            <w:tcW w:w="1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十</w:t>
            </w:r>
            <w:r>
              <w:rPr>
                <w:rFonts w:hint="eastAsia" w:ascii="仿宋_GB2312" w:hAnsi="仿宋_GB2312" w:eastAsia="仿宋_GB2312" w:cs="仿宋_GB2312"/>
                <w:b w:val="0"/>
                <w:bCs w:val="0"/>
                <w:color w:val="FF0000"/>
                <w:kern w:val="0"/>
                <w:szCs w:val="21"/>
                <w:lang w:bidi="ar"/>
              </w:rPr>
              <w:t>小时及以下</w:t>
            </w:r>
          </w:p>
        </w:tc>
        <w:tc>
          <w:tcPr>
            <w:tcW w:w="7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w:t>
            </w:r>
          </w:p>
        </w:tc>
        <w:tc>
          <w:tcPr>
            <w:tcW w:w="1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青年大学习</w:t>
            </w:r>
          </w:p>
        </w:tc>
        <w:tc>
          <w:tcPr>
            <w:tcW w:w="886"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完成率100%</w:t>
            </w:r>
          </w:p>
        </w:tc>
        <w:tc>
          <w:tcPr>
            <w:tcW w:w="725"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完成率80%-99%</w:t>
            </w:r>
          </w:p>
        </w:tc>
        <w:tc>
          <w:tcPr>
            <w:tcW w:w="72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4</w:t>
            </w:r>
          </w:p>
        </w:tc>
        <w:tc>
          <w:tcPr>
            <w:tcW w:w="1483" w:type="pct"/>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实践服务荣誉称号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先进个人（社会实践、志愿服务）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校（市）级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院（区、县）级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优秀团队（社会实践、志愿服务）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负责人按200%记点数。</w:t>
            </w: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校（市）级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院（区、县）级</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各类活动</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体育、心理、文化、艺术及其他非大学生</w:t>
            </w:r>
            <w:r>
              <w:rPr>
                <w:rFonts w:hint="eastAsia" w:ascii="仿宋_GB2312" w:hAnsi="仿宋_GB2312" w:eastAsia="仿宋_GB2312" w:cs="仿宋_GB2312"/>
                <w:b w:val="0"/>
                <w:bCs w:val="0"/>
                <w:color w:val="auto"/>
                <w:kern w:val="0"/>
                <w:szCs w:val="21"/>
                <w:lang w:val="en-US" w:eastAsia="zh-CN" w:bidi="ar"/>
              </w:rPr>
              <w:t>学术类</w:t>
            </w:r>
            <w:r>
              <w:rPr>
                <w:rFonts w:hint="eastAsia" w:ascii="仿宋_GB2312" w:hAnsi="仿宋_GB2312" w:eastAsia="仿宋_GB2312" w:cs="仿宋_GB2312"/>
                <w:b w:val="0"/>
                <w:bCs w:val="0"/>
                <w:color w:val="auto"/>
                <w:kern w:val="0"/>
                <w:szCs w:val="21"/>
                <w:lang w:bidi="ar"/>
              </w:rPr>
              <w:t>竞赛活动</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1.参加同一活动并多次获奖者，以最高级别获奖点数计入，同一内容多次获奖者，以最高级别获奖点数计入；</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2.获奖为团体的，团体个人按50%计点数；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3.体育比赛和艺术类评比中以名次计奖的项目，获得第1名至第3名为一等奖，第4名至第8名为二等奖，第9名至第12名为三等奖，运动会破纪录者按一等奖200%计点数；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4.特等奖按一等奖150%记点数，单项奖按三等奖50%记点数，荣誉称号按一等奖记点数；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5.作为主要参与者（经验分享主讲人、特邀嘉宾等）参与院级活动按三等奖记点数。</w:t>
            </w: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校级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一等奖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二等奖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6</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三等奖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4</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参与</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院级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一等奖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二等奖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三等奖</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6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楷体_GB2312" w:hAnsi="楷体_GB2312" w:eastAsia="楷体_GB2312" w:cs="楷体_GB2312"/>
                <w:b w:val="0"/>
                <w:bCs w:val="0"/>
                <w:color w:val="auto"/>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参与</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楷体_GB2312" w:hAnsi="楷体_GB2312" w:eastAsia="楷体_GB2312" w:cs="楷体_GB2312"/>
                <w:b w:val="0"/>
                <w:bCs w:val="0"/>
                <w:color w:val="auto"/>
                <w:szCs w:val="21"/>
              </w:rPr>
            </w:pPr>
            <w:r>
              <w:rPr>
                <w:rFonts w:hint="eastAsia" w:ascii="楷体_GB2312" w:hAnsi="楷体_GB2312" w:eastAsia="楷体_GB2312" w:cs="楷体_GB2312"/>
                <w:b w:val="0"/>
                <w:bCs w:val="0"/>
                <w:color w:val="auto"/>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bl>
    <w:p>
      <w:pPr>
        <w:spacing w:line="580" w:lineRule="exact"/>
        <w:ind w:firstLine="640" w:firstLineChars="200"/>
        <w:rPr>
          <w:rFonts w:hint="eastAsia" w:ascii="黑体" w:hAnsi="黑体" w:eastAsia="黑体"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rPr>
        <w:t>（</w:t>
      </w:r>
      <w:r>
        <w:rPr>
          <w:rFonts w:hint="eastAsia" w:ascii="FangSong_GB2312" w:hAnsi="FangSong_GB2312" w:eastAsia="FangSong_GB2312" w:cs="FangSong_GB2312"/>
          <w:b w:val="0"/>
          <w:bCs w:val="0"/>
          <w:color w:val="auto"/>
          <w:sz w:val="32"/>
          <w:szCs w:val="32"/>
          <w:lang w:val="en-US" w:eastAsia="zh-CN"/>
        </w:rPr>
        <w:t>三</w:t>
      </w:r>
      <w:r>
        <w:rPr>
          <w:rFonts w:hint="eastAsia" w:ascii="FangSong_GB2312" w:hAnsi="FangSong_GB2312" w:eastAsia="FangSong_GB2312" w:cs="FangSong_GB2312"/>
          <w:b w:val="0"/>
          <w:bCs w:val="0"/>
          <w:color w:val="auto"/>
          <w:sz w:val="32"/>
          <w:szCs w:val="32"/>
        </w:rPr>
        <w:t>）</w:t>
      </w:r>
      <w:r>
        <w:rPr>
          <w:rFonts w:hint="eastAsia" w:ascii="FangSong_GB2312" w:hAnsi="FangSong_GB2312" w:eastAsia="FangSong_GB2312" w:cs="FangSong_GB2312"/>
          <w:b w:val="0"/>
          <w:bCs w:val="0"/>
          <w:color w:val="auto"/>
          <w:sz w:val="32"/>
          <w:szCs w:val="32"/>
          <w:lang w:val="en-US" w:eastAsia="zh-CN"/>
        </w:rPr>
        <w:t>扣分项</w:t>
      </w:r>
    </w:p>
    <w:p>
      <w:pPr>
        <w:spacing w:line="580" w:lineRule="exact"/>
        <w:ind w:firstLine="480" w:firstLineChars="200"/>
        <w:jc w:val="center"/>
        <w:rPr>
          <w:rFonts w:hint="eastAsia" w:ascii="黑体" w:hAnsi="黑体" w:eastAsia="黑体" w:cs="FangSong_GB2312"/>
          <w:b w:val="0"/>
          <w:bCs w:val="0"/>
          <w:color w:val="auto"/>
          <w:sz w:val="24"/>
          <w:szCs w:val="24"/>
          <w:lang w:val="en-US" w:eastAsia="zh-CN"/>
        </w:rPr>
      </w:pPr>
      <w:r>
        <w:rPr>
          <w:rFonts w:hint="eastAsia" w:ascii="黑体" w:hAnsi="黑体" w:eastAsia="黑体" w:cs="FangSong_GB2312"/>
          <w:b w:val="0"/>
          <w:bCs w:val="0"/>
          <w:color w:val="auto"/>
          <w:sz w:val="24"/>
          <w:szCs w:val="24"/>
          <w:lang w:val="en-US" w:eastAsia="zh-CN"/>
        </w:rPr>
        <w:t>扣分项</w:t>
      </w:r>
      <w:r>
        <w:rPr>
          <w:rFonts w:hint="eastAsia" w:ascii="黑体" w:hAnsi="黑体" w:eastAsia="黑体" w:cs="FangSong_GB2312"/>
          <w:b w:val="0"/>
          <w:bCs w:val="0"/>
          <w:color w:val="auto"/>
          <w:sz w:val="24"/>
          <w:szCs w:val="24"/>
        </w:rPr>
        <w:t>点值表</w:t>
      </w:r>
    </w:p>
    <w:tbl>
      <w:tblPr>
        <w:tblStyle w:val="4"/>
        <w:tblW w:w="4997" w:type="pct"/>
        <w:tblInd w:w="0" w:type="dxa"/>
        <w:tblLayout w:type="autofit"/>
        <w:tblCellMar>
          <w:top w:w="0" w:type="dxa"/>
          <w:left w:w="108" w:type="dxa"/>
          <w:bottom w:w="0" w:type="dxa"/>
          <w:right w:w="108" w:type="dxa"/>
        </w:tblCellMar>
      </w:tblPr>
      <w:tblGrid>
        <w:gridCol w:w="5050"/>
        <w:gridCol w:w="1315"/>
        <w:gridCol w:w="2690"/>
      </w:tblGrid>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default"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扣分项目</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标准</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备注</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院级通报批评</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10</w:t>
            </w:r>
          </w:p>
        </w:tc>
        <w:tc>
          <w:tcPr>
            <w:tcW w:w="1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扣分项累计超过20（包含20），取消当年评优资格。</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实验室、工位检查存在卫生、安全隐患</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5</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 w:val="22"/>
                <w:szCs w:val="22"/>
              </w:rPr>
            </w:pP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宿舍检查不合格（每次）</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3</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 w:val="22"/>
                <w:szCs w:val="22"/>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_GB2312"/>
          <w:b w:val="0"/>
          <w:bCs w:val="0"/>
          <w:color w:val="auto"/>
          <w:sz w:val="32"/>
          <w:szCs w:val="32"/>
        </w:rPr>
      </w:pPr>
      <w:r>
        <w:rPr>
          <w:rFonts w:hint="default" w:ascii="黑体" w:hAnsi="黑体" w:eastAsia="黑体" w:cs="仿宋_GB2312"/>
          <w:b w:val="0"/>
          <w:bCs w:val="0"/>
          <w:color w:val="auto"/>
          <w:sz w:val="32"/>
          <w:szCs w:val="32"/>
          <w:lang w:val="en-US"/>
        </w:rPr>
        <w:t>四</w:t>
      </w:r>
      <w:r>
        <w:rPr>
          <w:rFonts w:hint="eastAsia" w:ascii="黑体" w:hAnsi="黑体" w:eastAsia="黑体" w:cs="仿宋_GB2312"/>
          <w:b w:val="0"/>
          <w:bCs w:val="0"/>
          <w:color w:val="auto"/>
          <w:sz w:val="32"/>
          <w:szCs w:val="32"/>
        </w:rPr>
        <w:t>、答辩</w:t>
      </w:r>
    </w:p>
    <w:p>
      <w:pPr>
        <w:spacing w:line="580" w:lineRule="exact"/>
        <w:ind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学院评审委员会组织专家举行国家奖学金评审答辩会议。会议包含奖学金申请人汇报及问答环节。</w:t>
      </w:r>
    </w:p>
    <w:p>
      <w:pPr>
        <w:spacing w:line="580" w:lineRule="exact"/>
        <w:ind w:firstLine="640" w:firstLineChars="200"/>
        <w:rPr>
          <w:b w:val="0"/>
          <w:bCs w:val="0"/>
          <w:color w:val="auto"/>
        </w:rPr>
      </w:pPr>
      <w:r>
        <w:rPr>
          <w:rFonts w:hint="eastAsia" w:ascii="仿宋_GB2312" w:eastAsia="仿宋_GB2312"/>
          <w:b w:val="0"/>
          <w:bCs w:val="0"/>
          <w:color w:val="auto"/>
          <w:sz w:val="32"/>
          <w:szCs w:val="32"/>
        </w:rPr>
        <w:t>对博士研究生和学术型研究生，专家着重考察其科研创新能力和体现创新能力的科研成果；对专业学位研究生，专家着重考察其专业实践能力和适应专业岗位的综合素质。</w:t>
      </w:r>
    </w:p>
    <w:sectPr>
      <w:headerReference r:id="rId4" w:type="default"/>
      <w:footerReference r:id="rId5" w:type="default"/>
      <w:pgSz w:w="11906" w:h="16838"/>
      <w:pgMar w:top="2155"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8186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rPr>
        <w:rFonts w:asci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NhMDFkMjE0OTRlMDMzYzc3MWY5ODA4ODY0NTAifQ=="/>
  </w:docVars>
  <w:rsids>
    <w:rsidRoot w:val="3E88261A"/>
    <w:rsid w:val="000845E2"/>
    <w:rsid w:val="000A3E25"/>
    <w:rsid w:val="000C2F2D"/>
    <w:rsid w:val="000D255E"/>
    <w:rsid w:val="000D68C5"/>
    <w:rsid w:val="00183E49"/>
    <w:rsid w:val="001E7986"/>
    <w:rsid w:val="00203936"/>
    <w:rsid w:val="00211C1F"/>
    <w:rsid w:val="00221EC1"/>
    <w:rsid w:val="0028011F"/>
    <w:rsid w:val="002B2961"/>
    <w:rsid w:val="002E4ECC"/>
    <w:rsid w:val="0038644E"/>
    <w:rsid w:val="003A7120"/>
    <w:rsid w:val="003C7D34"/>
    <w:rsid w:val="00402601"/>
    <w:rsid w:val="00415EED"/>
    <w:rsid w:val="00451736"/>
    <w:rsid w:val="004B6E91"/>
    <w:rsid w:val="00554977"/>
    <w:rsid w:val="00576569"/>
    <w:rsid w:val="005A25F5"/>
    <w:rsid w:val="005C0226"/>
    <w:rsid w:val="005E2BE1"/>
    <w:rsid w:val="005F4502"/>
    <w:rsid w:val="00661226"/>
    <w:rsid w:val="00686BE8"/>
    <w:rsid w:val="00694E67"/>
    <w:rsid w:val="006C13FF"/>
    <w:rsid w:val="006E4198"/>
    <w:rsid w:val="00715652"/>
    <w:rsid w:val="00715D5C"/>
    <w:rsid w:val="007612EF"/>
    <w:rsid w:val="007B62BB"/>
    <w:rsid w:val="007C5D9C"/>
    <w:rsid w:val="007F0235"/>
    <w:rsid w:val="00850565"/>
    <w:rsid w:val="00877DEB"/>
    <w:rsid w:val="0088310C"/>
    <w:rsid w:val="008D31AE"/>
    <w:rsid w:val="008E62C9"/>
    <w:rsid w:val="00935847"/>
    <w:rsid w:val="00965D66"/>
    <w:rsid w:val="00997264"/>
    <w:rsid w:val="009B2601"/>
    <w:rsid w:val="009C00F2"/>
    <w:rsid w:val="009E06D2"/>
    <w:rsid w:val="00A211B5"/>
    <w:rsid w:val="00A27424"/>
    <w:rsid w:val="00A66FD7"/>
    <w:rsid w:val="00AB35BB"/>
    <w:rsid w:val="00AD5E9D"/>
    <w:rsid w:val="00B41BCE"/>
    <w:rsid w:val="00B87B89"/>
    <w:rsid w:val="00C044AB"/>
    <w:rsid w:val="00D65275"/>
    <w:rsid w:val="00F17F61"/>
    <w:rsid w:val="00F27AAD"/>
    <w:rsid w:val="049202CD"/>
    <w:rsid w:val="04E656C6"/>
    <w:rsid w:val="06943A47"/>
    <w:rsid w:val="10120753"/>
    <w:rsid w:val="111339A2"/>
    <w:rsid w:val="14025795"/>
    <w:rsid w:val="149C3C1E"/>
    <w:rsid w:val="15062509"/>
    <w:rsid w:val="15C40F54"/>
    <w:rsid w:val="15D84108"/>
    <w:rsid w:val="17355F35"/>
    <w:rsid w:val="17681DB3"/>
    <w:rsid w:val="1AC50984"/>
    <w:rsid w:val="1BF81957"/>
    <w:rsid w:val="1CCF4020"/>
    <w:rsid w:val="1DA61FEB"/>
    <w:rsid w:val="1DB448DA"/>
    <w:rsid w:val="1DC86DA8"/>
    <w:rsid w:val="261315EA"/>
    <w:rsid w:val="2DC773DC"/>
    <w:rsid w:val="307E10BA"/>
    <w:rsid w:val="32C34692"/>
    <w:rsid w:val="35455DA7"/>
    <w:rsid w:val="35766C2C"/>
    <w:rsid w:val="36767FCF"/>
    <w:rsid w:val="36FF63C2"/>
    <w:rsid w:val="39B54909"/>
    <w:rsid w:val="3A831862"/>
    <w:rsid w:val="3E88261A"/>
    <w:rsid w:val="4EF50B3B"/>
    <w:rsid w:val="4F28494B"/>
    <w:rsid w:val="52CE223A"/>
    <w:rsid w:val="555168F1"/>
    <w:rsid w:val="56CB259E"/>
    <w:rsid w:val="57A1589E"/>
    <w:rsid w:val="5A0F0236"/>
    <w:rsid w:val="5A9B0802"/>
    <w:rsid w:val="5AF42587"/>
    <w:rsid w:val="5E3E56D2"/>
    <w:rsid w:val="5F4047B1"/>
    <w:rsid w:val="6EE35DE2"/>
    <w:rsid w:val="76262C39"/>
    <w:rsid w:val="76473D61"/>
    <w:rsid w:val="7BE77924"/>
    <w:rsid w:val="7C02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宋体" w:eastAsia="宋体" w:cs="宋体"/>
      <w:sz w:val="21"/>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宋体" w:cs="宋体"/>
      <w:sz w:val="18"/>
      <w:szCs w:val="18"/>
    </w:rPr>
  </w:style>
  <w:style w:type="character" w:customStyle="1" w:styleId="8">
    <w:name w:val="页脚 字符"/>
    <w:basedOn w:val="6"/>
    <w:link w:val="2"/>
    <w:autoRedefine/>
    <w:qFormat/>
    <w:uiPriority w:val="99"/>
    <w:rPr>
      <w:rFonts w:ascii="Times New Roman"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3965</Words>
  <Characters>4293</Characters>
  <Lines>31</Lines>
  <Paragraphs>8</Paragraphs>
  <TotalTime>27</TotalTime>
  <ScaleCrop>false</ScaleCrop>
  <LinksUpToDate>false</LinksUpToDate>
  <CharactersWithSpaces>4327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2022-03-10T03:36:00Z</dcterms:created>
  <dc:creator>小之</dc:creator>
  <cp:lastModifiedBy>阿文</cp:lastModifiedBy>
  <cp:lastPrinted>2022-03-10T07:37:00Z</cp:lastPrinted>
  <dcterms:modified xsi:type="dcterms:W3CDTF">2024-01-12T08:24:28Z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8800166C594A475F9F9E4F44B923DCEB</vt:lpwstr>
  </property>
</Properties>
</file>