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河北工业大学生命科学与健康工程学院</w:t>
      </w:r>
    </w:p>
    <w:p>
      <w:pPr>
        <w:spacing w:line="58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关于</w:t>
      </w:r>
      <w:r>
        <w:rPr>
          <w:rFonts w:hint="eastAsia" w:ascii="方正小标宋简体" w:hAnsi="Times New Roman" w:eastAsia="方正小标宋简体" w:cs="Times New Roman"/>
          <w:sz w:val="44"/>
          <w:szCs w:val="44"/>
        </w:rPr>
        <w:t>招收2022年推免研究生的通知</w:t>
      </w:r>
    </w:p>
    <w:p>
      <w:pPr>
        <w:spacing w:line="580" w:lineRule="exact"/>
        <w:jc w:val="center"/>
        <w:rPr>
          <w:rFonts w:hint="eastAsia" w:ascii="方正小标宋简体" w:hAnsi="Times New Roman" w:eastAsia="方正小标宋简体" w:cs="Times New Roman"/>
          <w:sz w:val="44"/>
          <w:szCs w:val="44"/>
        </w:rPr>
      </w:pPr>
    </w:p>
    <w:p>
      <w:pPr>
        <w:spacing w:line="580" w:lineRule="exact"/>
        <w:ind w:firstLine="576" w:firstLineChars="200"/>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河北工业大学生命科学与健康工程学院2022年推免研究生的招生工作已经启动，热烈欢迎有志于深造的推免生加盟我院攻读硕士或博士研究生学位。</w:t>
      </w:r>
    </w:p>
    <w:p>
      <w:pPr>
        <w:spacing w:line="580" w:lineRule="exact"/>
        <w:ind w:firstLine="645"/>
        <w:rPr>
          <w:rFonts w:hint="eastAsia" w:ascii="黑体" w:hAnsi="黑体" w:eastAsia="黑体" w:cs="Times New Roman"/>
          <w:kern w:val="6"/>
          <w:sz w:val="32"/>
          <w:szCs w:val="32"/>
        </w:rPr>
      </w:pPr>
      <w:r>
        <w:rPr>
          <w:rFonts w:hint="eastAsia" w:ascii="黑体" w:hAnsi="黑体" w:eastAsia="黑体" w:cs="Times New Roman"/>
          <w:kern w:val="6"/>
          <w:sz w:val="32"/>
          <w:szCs w:val="32"/>
        </w:rPr>
        <w:t>一、河北工业大学生命科学与健康工程学院简介</w:t>
      </w:r>
    </w:p>
    <w:p>
      <w:pPr>
        <w:spacing w:line="580" w:lineRule="exact"/>
        <w:ind w:firstLine="576" w:firstLineChars="200"/>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河北工业大学是一所以工为主、多学科协调发展的国家“211工程”重点建设高校，2017年入选国家“世界一流学科”建设高校。学校坐落在天津市，是教育部、河北省和天津市共建高校。</w:t>
      </w:r>
    </w:p>
    <w:p>
      <w:pPr>
        <w:spacing w:line="580" w:lineRule="exact"/>
        <w:ind w:firstLine="576" w:firstLineChars="200"/>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生命科学与健康工程学院致力于培养面向生命健康领域的新时代高素质创新人才。学院积极响应实施健康中国的国家战略规划,依托具有20年办学经验的生物医学工程一级学科,凝聚校内外生命科学、医学、工学的优势资源，精心建设服务国家和社会需求的高层次人才培养基地和国际化水平的医工融合研究平台。学院全力打造国际化的高水平师资队伍，拥有国家级人才专家和国内外一流名校毕业的博士教师（清华、牛津、布朗、柏林自由大学等）近20人，同时聘请了美国国家工程院院士、德国埃尔福特科学院院士、加拿大工程院院士等国内外一流水平的兼职教授12人。学院现有生物医学工程一级学科博士点、生物学一级学科硕士点、生物医学工程教育部“双万计划”国家级一流本科专业建设点,也是教育部生物医学工程类教学指导委员会委员单位、全国生物医学工程实践教学联盟理事单位和中国电工技术学会生物电工专业委员会挂靠单位。</w:t>
      </w:r>
    </w:p>
    <w:p>
      <w:pPr>
        <w:spacing w:line="580" w:lineRule="exact"/>
        <w:ind w:firstLine="576" w:firstLineChars="200"/>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医工融合，传承创新，打造研究转化新势力。学院瞄准“高起点、高标准”的学科建设目标,汇聚了以国家杰青、优青和海内外高层次人才为代表的导师队伍,建有天津市生物电工与智能健康重点实验室、河北省生物电磁与神经工程重点实验室等一系列省部级高水平科研平台，承担了生命健康领域的十三五国家重点研发计划项目课题、国家自然科学基金重点项目和杰青项目等重点科技攻关项目。此外与美国布朗大学、中国科学院、清华大学、复旦大学医学院、河北医科大学等开展了广泛合作,在智能医学与仪器、生物医学材料、再生医学、医疗器械、生物物理、医学影像等重点领域开展协同攻关。</w:t>
      </w:r>
    </w:p>
    <w:p>
      <w:pPr>
        <w:spacing w:line="580" w:lineRule="exact"/>
        <w:ind w:firstLine="576" w:firstLineChars="200"/>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兴工报国，面向未来，服务健康中国新战略；不忘工学，并举初心，牢记兴工报国使命。在健康中国战略指引下，学院在人才培养和科学研究中将理论创新与产业实践相结合,将工科优势与医学前沿相结合，将人才培养与国家战略相结合，秉持“医工结合”和“国际化”的办学理念，发挥京津冀协同发展的区域优势，打造集人才培养、科学研究、成果转化等功能深度融合的覆盖全产业链的生命科学和健康工程基地，为国家大健康产业发展提供强有力的人才和科技支撑。</w:t>
      </w:r>
    </w:p>
    <w:p>
      <w:pPr>
        <w:spacing w:line="580" w:lineRule="exact"/>
        <w:ind w:firstLine="576" w:firstLineChars="200"/>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生物医学工程学科现有硕士研究生导师68人（含兼职），博士生导师26人（含兼职），绝大部分研究生导师具有海外博士学历或留学经历。</w:t>
      </w:r>
    </w:p>
    <w:p>
      <w:pPr>
        <w:spacing w:line="580" w:lineRule="exact"/>
        <w:ind w:firstLine="645"/>
        <w:rPr>
          <w:rFonts w:hint="eastAsia" w:ascii="黑体" w:hAnsi="黑体" w:eastAsia="黑体" w:cs="Times New Roman"/>
          <w:kern w:val="6"/>
          <w:sz w:val="32"/>
          <w:szCs w:val="32"/>
        </w:rPr>
      </w:pPr>
      <w:r>
        <w:rPr>
          <w:rFonts w:hint="eastAsia" w:ascii="黑体" w:hAnsi="黑体" w:eastAsia="黑体" w:cs="Times New Roman"/>
          <w:kern w:val="6"/>
          <w:sz w:val="32"/>
          <w:szCs w:val="32"/>
        </w:rPr>
        <w:t>二、学科优势</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生物医学工程学科（生物医学工程专业及专业学位领域）</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依托学校和学院在电工理论与新技术领域的优势，上世纪90年代，本学科将电磁学与生命、信息等多学科交叉融合，建立了生物电磁研究方向，2002年建立了生物医学工程本科专业，2003年获得生物医学工程硕士学位授权点，2004年国家学位办批准在电气工程一级学科博士点下设生物电工博士授权方向，2010年获生物医学工程领域硕士学位授权，2012年获批河北省首个生物医学工程重点学科。2018年获批生物医学工程一级学科博士点，2019年获批生物医学工程国家级一流专业建设点，成立健康科学与工程研究中心、生物医学与健康工程研究院，获批天津市生物电工与智能健康重点实验室，同年获批中国电工技术学生物电工专业委员会，并挂靠本单位；2020年获批河北省生物电磁与神经工程重点实验室。我校也是教育部生物医学工程类教学指导委员会委员单位、中国生物医学工程实践教学联盟理事单位、河北省生物医学工程学会副理事长单位、河北省数理医学学会副理事长单位等。生物电磁技术是省部共建电工装备可靠性与智能化国家重点实验室重点研究方向之一。</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生物医学工程学科密切围绕生物电磁、脑科学与神经工程、生物材料、医疗器械、智能健康等领域的国际前沿问题及重大科学问题，基于前期基础和优势特色，针对区域和国家发展重大战略需求，开展包括生物电磁功能成像及应用、生物电磁效应与作用机制、电磁神经调控与神经工程、脑机融合、智能医学与健康大数据、医学材料与器械、组织工程与再生医学、医学纳米技术等方面的研究和人才培养工作。</w:t>
      </w:r>
    </w:p>
    <w:p>
      <w:pPr>
        <w:spacing w:line="580" w:lineRule="exact"/>
        <w:ind w:firstLine="645"/>
        <w:rPr>
          <w:rFonts w:hint="eastAsia" w:ascii="黑体" w:hAnsi="黑体" w:eastAsia="黑体" w:cs="Times New Roman"/>
          <w:kern w:val="6"/>
          <w:sz w:val="32"/>
          <w:szCs w:val="32"/>
        </w:rPr>
      </w:pPr>
      <w:r>
        <w:rPr>
          <w:rFonts w:hint="eastAsia" w:ascii="黑体" w:hAnsi="黑体" w:eastAsia="黑体" w:cs="Times New Roman"/>
          <w:kern w:val="6"/>
          <w:sz w:val="32"/>
          <w:szCs w:val="32"/>
        </w:rPr>
        <w:t>三、招生信息和要求</w:t>
      </w:r>
    </w:p>
    <w:p>
      <w:pPr>
        <w:spacing w:line="580" w:lineRule="exact"/>
        <w:ind w:firstLine="640" w:firstLineChars="200"/>
        <w:rPr>
          <w:rFonts w:hint="eastAsia" w:ascii="楷体_GB2312" w:hAnsi="宋体" w:eastAsia="楷体_GB2312" w:cs="Times New Roman"/>
          <w:kern w:val="6"/>
          <w:sz w:val="32"/>
          <w:szCs w:val="32"/>
        </w:rPr>
      </w:pPr>
      <w:r>
        <w:rPr>
          <w:rFonts w:hint="eastAsia" w:ascii="楷体_GB2312" w:hAnsi="宋体" w:eastAsia="楷体_GB2312" w:cs="Times New Roman"/>
          <w:kern w:val="6"/>
          <w:sz w:val="32"/>
          <w:szCs w:val="32"/>
          <w:lang w:val="en-US" w:eastAsia="zh-CN"/>
        </w:rPr>
        <w:t>（一）</w:t>
      </w:r>
      <w:r>
        <w:rPr>
          <w:rFonts w:hint="eastAsia" w:ascii="楷体_GB2312" w:hAnsi="宋体" w:eastAsia="楷体_GB2312" w:cs="Times New Roman"/>
          <w:kern w:val="6"/>
          <w:sz w:val="32"/>
          <w:szCs w:val="32"/>
        </w:rPr>
        <w:t>招生信息</w:t>
      </w:r>
    </w:p>
    <w:tbl>
      <w:tblPr>
        <w:tblStyle w:val="8"/>
        <w:tblW w:w="8638" w:type="dxa"/>
        <w:jc w:val="center"/>
        <w:tblLayout w:type="fixed"/>
        <w:tblCellMar>
          <w:top w:w="0" w:type="dxa"/>
          <w:left w:w="113" w:type="dxa"/>
          <w:bottom w:w="0" w:type="dxa"/>
          <w:right w:w="0" w:type="dxa"/>
        </w:tblCellMar>
      </w:tblPr>
      <w:tblGrid>
        <w:gridCol w:w="2773"/>
        <w:gridCol w:w="1755"/>
        <w:gridCol w:w="2115"/>
        <w:gridCol w:w="1995"/>
      </w:tblGrid>
      <w:tr>
        <w:tblPrEx>
          <w:tblCellMar>
            <w:top w:w="0" w:type="dxa"/>
            <w:left w:w="113" w:type="dxa"/>
            <w:bottom w:w="0" w:type="dxa"/>
            <w:right w:w="0" w:type="dxa"/>
          </w:tblCellMar>
        </w:tblPrEx>
        <w:trPr>
          <w:jc w:val="center"/>
        </w:trPr>
        <w:tc>
          <w:tcPr>
            <w:tcW w:w="2773"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宋体"/>
                <w:b/>
                <w:bCs/>
                <w:kern w:val="0"/>
                <w:sz w:val="18"/>
                <w:szCs w:val="18"/>
              </w:rPr>
            </w:pPr>
            <w:r>
              <w:rPr>
                <w:rFonts w:hint="eastAsia" w:ascii="宋体" w:hAnsi="宋体" w:cs="宋体"/>
                <w:b/>
                <w:sz w:val="18"/>
                <w:szCs w:val="18"/>
              </w:rPr>
              <w:t>专业代码、名称及研究方向</w:t>
            </w:r>
          </w:p>
        </w:tc>
        <w:tc>
          <w:tcPr>
            <w:tcW w:w="1755" w:type="dxa"/>
            <w:tcBorders>
              <w:top w:val="single" w:color="auto" w:sz="8" w:space="0"/>
              <w:left w:val="single" w:color="auto" w:sz="4" w:space="0"/>
              <w:bottom w:val="single" w:color="auto" w:sz="8" w:space="0"/>
              <w:right w:val="single" w:color="auto" w:sz="4" w:space="0"/>
            </w:tcBorders>
            <w:vAlign w:val="center"/>
          </w:tcPr>
          <w:p>
            <w:pPr>
              <w:jc w:val="center"/>
              <w:rPr>
                <w:rFonts w:ascii="宋体" w:hAnsi="宋体" w:cs="宋体"/>
                <w:b/>
                <w:sz w:val="18"/>
                <w:szCs w:val="18"/>
              </w:rPr>
            </w:pPr>
            <w:r>
              <w:rPr>
                <w:rFonts w:hint="eastAsia" w:ascii="宋体" w:hAnsi="宋体" w:cs="宋体"/>
                <w:b/>
                <w:sz w:val="18"/>
                <w:szCs w:val="18"/>
              </w:rPr>
              <w:t>拟招</w:t>
            </w:r>
          </w:p>
          <w:p>
            <w:pPr>
              <w:jc w:val="center"/>
              <w:rPr>
                <w:rFonts w:ascii="宋体" w:hAnsi="宋体" w:cs="宋体"/>
                <w:b/>
                <w:sz w:val="18"/>
                <w:szCs w:val="18"/>
              </w:rPr>
            </w:pPr>
            <w:r>
              <w:rPr>
                <w:rFonts w:hint="eastAsia" w:ascii="宋体" w:hAnsi="宋体" w:cs="宋体"/>
                <w:b/>
                <w:sz w:val="18"/>
                <w:szCs w:val="18"/>
              </w:rPr>
              <w:t>总人数</w:t>
            </w:r>
          </w:p>
        </w:tc>
        <w:tc>
          <w:tcPr>
            <w:tcW w:w="2115" w:type="dxa"/>
            <w:tcBorders>
              <w:top w:val="single" w:color="auto" w:sz="8" w:space="0"/>
              <w:left w:val="single" w:color="auto" w:sz="4" w:space="0"/>
              <w:bottom w:val="single" w:color="auto" w:sz="8" w:space="0"/>
              <w:right w:val="single" w:color="auto" w:sz="4" w:space="0"/>
            </w:tcBorders>
            <w:vAlign w:val="center"/>
          </w:tcPr>
          <w:p>
            <w:pPr>
              <w:ind w:left="1" w:leftChars="-95" w:hanging="200" w:hangingChars="111"/>
              <w:jc w:val="center"/>
              <w:rPr>
                <w:rFonts w:ascii="宋体" w:hAnsi="宋体" w:cs="宋体"/>
                <w:b/>
                <w:sz w:val="18"/>
                <w:szCs w:val="18"/>
              </w:rPr>
            </w:pPr>
            <w:r>
              <w:rPr>
                <w:rFonts w:hint="eastAsia" w:ascii="宋体" w:hAnsi="宋体" w:cs="宋体"/>
                <w:b/>
                <w:sz w:val="18"/>
                <w:szCs w:val="18"/>
              </w:rPr>
              <w:t>统考</w:t>
            </w:r>
          </w:p>
          <w:p>
            <w:pPr>
              <w:ind w:left="1" w:leftChars="-95" w:hanging="200" w:hangingChars="111"/>
              <w:jc w:val="center"/>
              <w:rPr>
                <w:rFonts w:ascii="宋体" w:hAnsi="宋体" w:cs="宋体"/>
                <w:b/>
                <w:sz w:val="18"/>
                <w:szCs w:val="18"/>
              </w:rPr>
            </w:pPr>
            <w:r>
              <w:rPr>
                <w:rFonts w:hint="eastAsia" w:ascii="宋体" w:hAnsi="宋体" w:cs="宋体"/>
                <w:b/>
                <w:sz w:val="18"/>
                <w:szCs w:val="18"/>
              </w:rPr>
              <w:t>拟招</w:t>
            </w:r>
          </w:p>
          <w:p>
            <w:pPr>
              <w:ind w:left="1" w:leftChars="-95" w:hanging="200" w:hangingChars="111"/>
              <w:jc w:val="center"/>
              <w:rPr>
                <w:rFonts w:ascii="宋体" w:hAnsi="宋体" w:cs="宋体"/>
                <w:b/>
                <w:sz w:val="18"/>
                <w:szCs w:val="18"/>
              </w:rPr>
            </w:pPr>
            <w:r>
              <w:rPr>
                <w:rFonts w:hint="eastAsia" w:ascii="宋体" w:hAnsi="宋体" w:cs="宋体"/>
                <w:b/>
                <w:sz w:val="18"/>
                <w:szCs w:val="18"/>
              </w:rPr>
              <w:t>人数</w:t>
            </w:r>
          </w:p>
        </w:tc>
        <w:tc>
          <w:tcPr>
            <w:tcW w:w="1995"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sz w:val="18"/>
                <w:szCs w:val="18"/>
              </w:rPr>
            </w:pPr>
            <w:r>
              <w:rPr>
                <w:rFonts w:hint="eastAsia" w:ascii="宋体" w:hAnsi="宋体" w:cs="宋体"/>
                <w:b/>
                <w:sz w:val="18"/>
                <w:szCs w:val="18"/>
              </w:rPr>
              <w:t>推免</w:t>
            </w:r>
          </w:p>
          <w:p>
            <w:pPr>
              <w:jc w:val="center"/>
              <w:rPr>
                <w:rFonts w:ascii="宋体" w:hAnsi="宋体" w:cs="宋体"/>
                <w:b/>
                <w:sz w:val="18"/>
                <w:szCs w:val="18"/>
              </w:rPr>
            </w:pPr>
            <w:r>
              <w:rPr>
                <w:rFonts w:hint="eastAsia" w:ascii="宋体" w:hAnsi="宋体" w:cs="宋体"/>
                <w:b/>
                <w:sz w:val="18"/>
                <w:szCs w:val="18"/>
              </w:rPr>
              <w:t>拟招</w:t>
            </w:r>
          </w:p>
          <w:p>
            <w:pPr>
              <w:jc w:val="center"/>
              <w:rPr>
                <w:rFonts w:ascii="宋体" w:hAnsi="宋体" w:cs="宋体"/>
                <w:b/>
                <w:sz w:val="18"/>
                <w:szCs w:val="18"/>
              </w:rPr>
            </w:pPr>
            <w:r>
              <w:rPr>
                <w:rFonts w:hint="eastAsia" w:ascii="宋体" w:hAnsi="宋体" w:cs="宋体"/>
                <w:b/>
                <w:sz w:val="18"/>
                <w:szCs w:val="18"/>
              </w:rPr>
              <w:t>人数</w:t>
            </w:r>
          </w:p>
        </w:tc>
      </w:tr>
      <w:tr>
        <w:tblPrEx>
          <w:tblCellMar>
            <w:top w:w="0" w:type="dxa"/>
            <w:left w:w="113" w:type="dxa"/>
            <w:bottom w:w="0" w:type="dxa"/>
            <w:right w:w="0" w:type="dxa"/>
          </w:tblCellMar>
        </w:tblPrEx>
        <w:trPr>
          <w:trHeight w:val="419" w:hRule="atLeast"/>
          <w:jc w:val="center"/>
        </w:trPr>
        <w:tc>
          <w:tcPr>
            <w:tcW w:w="2773" w:type="dxa"/>
            <w:tcBorders>
              <w:top w:val="single" w:color="auto" w:sz="8" w:space="0"/>
              <w:left w:val="single" w:color="auto" w:sz="8" w:space="0"/>
              <w:bottom w:val="single" w:color="auto" w:sz="8" w:space="0"/>
              <w:right w:val="single" w:color="auto" w:sz="8" w:space="0"/>
            </w:tcBorders>
            <w:shd w:val="clear" w:color="auto" w:fill="B3B3B3"/>
            <w:vAlign w:val="center"/>
          </w:tcPr>
          <w:p>
            <w:pPr>
              <w:widowControl/>
              <w:spacing w:line="250" w:lineRule="atLeast"/>
              <w:jc w:val="left"/>
              <w:rPr>
                <w:rFonts w:ascii="宋体" w:hAnsi="宋体" w:cs="宋体"/>
                <w:kern w:val="0"/>
                <w:sz w:val="18"/>
                <w:szCs w:val="18"/>
              </w:rPr>
            </w:pPr>
            <w:r>
              <w:rPr>
                <w:rFonts w:hint="eastAsia" w:ascii="宋体" w:hAnsi="宋体" w:cs="宋体"/>
                <w:b/>
                <w:bCs/>
                <w:kern w:val="0"/>
                <w:sz w:val="18"/>
                <w:szCs w:val="18"/>
              </w:rPr>
              <w:t>083100生物医学工程</w:t>
            </w:r>
          </w:p>
        </w:tc>
        <w:tc>
          <w:tcPr>
            <w:tcW w:w="1755" w:type="dxa"/>
            <w:tcBorders>
              <w:top w:val="single" w:color="auto" w:sz="8" w:space="0"/>
              <w:left w:val="single" w:color="auto" w:sz="8" w:space="0"/>
              <w:bottom w:val="single" w:color="auto" w:sz="8" w:space="0"/>
              <w:right w:val="single" w:color="auto" w:sz="4" w:space="0"/>
            </w:tcBorders>
            <w:shd w:val="clear" w:color="auto" w:fill="B3B3B3"/>
            <w:vAlign w:val="center"/>
          </w:tcPr>
          <w:p>
            <w:pPr>
              <w:widowControl/>
              <w:spacing w:line="250" w:lineRule="atLeast"/>
              <w:jc w:val="center"/>
              <w:rPr>
                <w:rFonts w:ascii="宋体" w:hAnsi="宋体" w:eastAsia="宋体" w:cs="宋体"/>
                <w:b/>
                <w:bCs/>
                <w:kern w:val="0"/>
                <w:szCs w:val="21"/>
              </w:rPr>
            </w:pPr>
            <w:r>
              <w:rPr>
                <w:rFonts w:hint="eastAsia" w:ascii="宋体" w:hAnsi="宋体" w:cs="宋体"/>
                <w:b/>
                <w:bCs/>
                <w:kern w:val="0"/>
                <w:szCs w:val="21"/>
              </w:rPr>
              <w:t>21</w:t>
            </w:r>
          </w:p>
        </w:tc>
        <w:tc>
          <w:tcPr>
            <w:tcW w:w="2115" w:type="dxa"/>
            <w:tcBorders>
              <w:top w:val="single" w:color="auto" w:sz="8" w:space="0"/>
              <w:left w:val="single" w:color="auto" w:sz="4" w:space="0"/>
              <w:bottom w:val="single" w:color="auto" w:sz="8" w:space="0"/>
              <w:right w:val="single" w:color="auto" w:sz="8" w:space="0"/>
            </w:tcBorders>
            <w:shd w:val="clear" w:color="auto" w:fill="B3B3B3"/>
            <w:vAlign w:val="center"/>
          </w:tcPr>
          <w:p>
            <w:pPr>
              <w:widowControl/>
              <w:spacing w:line="250" w:lineRule="atLeast"/>
              <w:jc w:val="center"/>
              <w:rPr>
                <w:rFonts w:ascii="宋体" w:hAnsi="宋体" w:cs="宋体"/>
                <w:b/>
                <w:bCs/>
                <w:kern w:val="0"/>
                <w:szCs w:val="21"/>
              </w:rPr>
            </w:pPr>
            <w:r>
              <w:rPr>
                <w:rFonts w:hint="eastAsia" w:ascii="宋体" w:hAnsi="宋体" w:cs="宋体"/>
                <w:b/>
                <w:bCs/>
                <w:kern w:val="0"/>
                <w:szCs w:val="21"/>
              </w:rPr>
              <w:t>17</w:t>
            </w:r>
          </w:p>
        </w:tc>
        <w:tc>
          <w:tcPr>
            <w:tcW w:w="1995" w:type="dxa"/>
            <w:tcBorders>
              <w:top w:val="single" w:color="auto" w:sz="8" w:space="0"/>
              <w:left w:val="single" w:color="auto" w:sz="8" w:space="0"/>
              <w:bottom w:val="single" w:color="auto" w:sz="8" w:space="0"/>
              <w:right w:val="single" w:color="auto" w:sz="4" w:space="0"/>
            </w:tcBorders>
            <w:shd w:val="clear" w:color="auto" w:fill="B3B3B3"/>
            <w:tcMar>
              <w:top w:w="0" w:type="dxa"/>
              <w:left w:w="108" w:type="dxa"/>
              <w:bottom w:w="0" w:type="dxa"/>
              <w:right w:w="108" w:type="dxa"/>
            </w:tcMar>
            <w:vAlign w:val="center"/>
          </w:tcPr>
          <w:p>
            <w:pPr>
              <w:widowControl/>
              <w:spacing w:line="250" w:lineRule="atLeast"/>
              <w:jc w:val="center"/>
              <w:rPr>
                <w:rFonts w:ascii="宋体" w:hAnsi="宋体" w:eastAsia="宋体" w:cs="宋体"/>
                <w:b/>
                <w:bCs/>
                <w:kern w:val="0"/>
                <w:szCs w:val="21"/>
              </w:rPr>
            </w:pPr>
            <w:r>
              <w:rPr>
                <w:rFonts w:hint="eastAsia" w:ascii="宋体" w:hAnsi="宋体" w:cs="宋体"/>
                <w:b/>
                <w:bCs/>
                <w:kern w:val="0"/>
                <w:szCs w:val="21"/>
              </w:rPr>
              <w:t>4</w:t>
            </w:r>
          </w:p>
        </w:tc>
      </w:tr>
      <w:tr>
        <w:tblPrEx>
          <w:tblCellMar>
            <w:top w:w="0" w:type="dxa"/>
            <w:left w:w="113" w:type="dxa"/>
            <w:bottom w:w="0" w:type="dxa"/>
            <w:right w:w="0" w:type="dxa"/>
          </w:tblCellMar>
        </w:tblPrEx>
        <w:trPr>
          <w:trHeight w:val="1389" w:hRule="atLeast"/>
          <w:jc w:val="center"/>
        </w:trPr>
        <w:tc>
          <w:tcPr>
            <w:tcW w:w="2773" w:type="dxa"/>
            <w:tcBorders>
              <w:top w:val="single" w:color="auto" w:sz="8" w:space="0"/>
              <w:left w:val="single" w:color="auto" w:sz="8" w:space="0"/>
              <w:bottom w:val="single" w:color="auto" w:sz="8" w:space="0"/>
              <w:right w:val="single" w:color="auto" w:sz="8" w:space="0"/>
            </w:tcBorders>
            <w:vAlign w:val="center"/>
          </w:tcPr>
          <w:p>
            <w:pPr>
              <w:widowControl/>
              <w:spacing w:line="250" w:lineRule="atLeast"/>
              <w:rPr>
                <w:rFonts w:ascii="宋体" w:hAnsi="宋体" w:cs="宋体"/>
                <w:sz w:val="18"/>
                <w:szCs w:val="18"/>
              </w:rPr>
            </w:pPr>
            <w:r>
              <w:rPr>
                <w:rFonts w:hint="eastAsia" w:ascii="宋体" w:hAnsi="宋体" w:cs="宋体"/>
                <w:sz w:val="18"/>
                <w:szCs w:val="18"/>
              </w:rPr>
              <w:t>01生物电磁与神经调控</w:t>
            </w:r>
          </w:p>
          <w:p>
            <w:pPr>
              <w:widowControl/>
              <w:spacing w:line="250" w:lineRule="atLeast"/>
              <w:ind w:firstLine="180" w:firstLineChars="100"/>
              <w:rPr>
                <w:rFonts w:ascii="宋体" w:hAnsi="宋体" w:cs="宋体"/>
                <w:kern w:val="0"/>
                <w:sz w:val="18"/>
                <w:szCs w:val="18"/>
              </w:rPr>
            </w:pPr>
            <w:r>
              <w:rPr>
                <w:rFonts w:hint="eastAsia" w:ascii="宋体" w:hAnsi="宋体" w:cs="宋体"/>
                <w:kern w:val="0"/>
                <w:sz w:val="18"/>
                <w:szCs w:val="18"/>
              </w:rPr>
              <w:t>脑认知与神经工程</w:t>
            </w:r>
          </w:p>
          <w:p>
            <w:pPr>
              <w:widowControl/>
              <w:spacing w:line="250" w:lineRule="atLeast"/>
              <w:ind w:firstLine="180" w:firstLineChars="100"/>
              <w:rPr>
                <w:rFonts w:ascii="宋体" w:hAnsi="宋体" w:cs="宋体"/>
                <w:kern w:val="0"/>
                <w:sz w:val="18"/>
                <w:szCs w:val="18"/>
              </w:rPr>
            </w:pPr>
            <w:r>
              <w:rPr>
                <w:rFonts w:hint="eastAsia" w:ascii="宋体" w:hAnsi="宋体" w:cs="宋体"/>
                <w:kern w:val="0"/>
                <w:sz w:val="18"/>
                <w:szCs w:val="18"/>
              </w:rPr>
              <w:t>生物电磁功能成像与应用</w:t>
            </w:r>
          </w:p>
          <w:p>
            <w:pPr>
              <w:widowControl/>
              <w:spacing w:line="250" w:lineRule="atLeast"/>
              <w:ind w:firstLine="180" w:firstLineChars="100"/>
              <w:rPr>
                <w:rFonts w:ascii="宋体" w:hAnsi="宋体" w:cs="宋体"/>
                <w:kern w:val="0"/>
                <w:sz w:val="18"/>
                <w:szCs w:val="18"/>
              </w:rPr>
            </w:pPr>
            <w:r>
              <w:rPr>
                <w:rFonts w:hint="eastAsia" w:ascii="宋体" w:hAnsi="宋体" w:cs="宋体"/>
                <w:kern w:val="0"/>
                <w:sz w:val="18"/>
                <w:szCs w:val="18"/>
              </w:rPr>
              <w:t>智能医学与健康工程</w:t>
            </w:r>
          </w:p>
        </w:tc>
        <w:tc>
          <w:tcPr>
            <w:tcW w:w="1755" w:type="dxa"/>
            <w:tcBorders>
              <w:top w:val="single" w:color="auto" w:sz="8" w:space="0"/>
              <w:left w:val="single" w:color="auto" w:sz="8" w:space="0"/>
              <w:bottom w:val="single" w:color="auto" w:sz="8" w:space="0"/>
              <w:right w:val="single" w:color="auto" w:sz="4"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16</w:t>
            </w:r>
          </w:p>
        </w:tc>
        <w:tc>
          <w:tcPr>
            <w:tcW w:w="2115" w:type="dxa"/>
            <w:tcBorders>
              <w:top w:val="single" w:color="auto" w:sz="8" w:space="0"/>
              <w:left w:val="single" w:color="auto" w:sz="4" w:space="0"/>
              <w:bottom w:val="single" w:color="auto" w:sz="8" w:space="0"/>
              <w:right w:val="single" w:color="auto" w:sz="8"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13</w:t>
            </w:r>
          </w:p>
        </w:tc>
        <w:tc>
          <w:tcPr>
            <w:tcW w:w="19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3</w:t>
            </w:r>
          </w:p>
        </w:tc>
      </w:tr>
      <w:tr>
        <w:tblPrEx>
          <w:tblCellMar>
            <w:top w:w="0" w:type="dxa"/>
            <w:left w:w="113" w:type="dxa"/>
            <w:bottom w:w="0" w:type="dxa"/>
            <w:right w:w="0" w:type="dxa"/>
          </w:tblCellMar>
        </w:tblPrEx>
        <w:trPr>
          <w:trHeight w:val="1389" w:hRule="atLeast"/>
          <w:jc w:val="center"/>
        </w:trPr>
        <w:tc>
          <w:tcPr>
            <w:tcW w:w="2773"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 w:val="18"/>
                <w:szCs w:val="18"/>
              </w:rPr>
            </w:pPr>
            <w:r>
              <w:rPr>
                <w:rFonts w:hint="eastAsia" w:ascii="宋体" w:hAnsi="宋体" w:cs="宋体"/>
                <w:kern w:val="0"/>
                <w:sz w:val="18"/>
                <w:szCs w:val="18"/>
              </w:rPr>
              <w:t>02生物医学材料与器械</w:t>
            </w:r>
          </w:p>
          <w:p>
            <w:pPr>
              <w:ind w:firstLine="180" w:firstLineChars="100"/>
              <w:rPr>
                <w:rFonts w:ascii="宋体" w:hAnsi="宋体" w:cs="宋体"/>
                <w:kern w:val="0"/>
                <w:sz w:val="18"/>
                <w:szCs w:val="18"/>
              </w:rPr>
            </w:pPr>
            <w:r>
              <w:rPr>
                <w:rFonts w:hint="eastAsia" w:ascii="宋体" w:hAnsi="宋体" w:cs="宋体"/>
                <w:kern w:val="0"/>
                <w:sz w:val="18"/>
                <w:szCs w:val="18"/>
              </w:rPr>
              <w:t>组织工程与再生医学</w:t>
            </w:r>
          </w:p>
          <w:p>
            <w:pPr>
              <w:ind w:firstLine="180" w:firstLineChars="100"/>
              <w:rPr>
                <w:rFonts w:ascii="宋体" w:hAnsi="宋体" w:cs="宋体"/>
                <w:color w:val="000000"/>
                <w:sz w:val="18"/>
                <w:szCs w:val="18"/>
              </w:rPr>
            </w:pPr>
            <w:r>
              <w:rPr>
                <w:rFonts w:hint="eastAsia" w:ascii="宋体" w:hAnsi="宋体" w:cs="宋体"/>
                <w:kern w:val="0"/>
                <w:sz w:val="18"/>
                <w:szCs w:val="18"/>
              </w:rPr>
              <w:t>生物医学纳米技术</w:t>
            </w:r>
          </w:p>
        </w:tc>
        <w:tc>
          <w:tcPr>
            <w:tcW w:w="1755" w:type="dxa"/>
            <w:tcBorders>
              <w:top w:val="single" w:color="auto" w:sz="8" w:space="0"/>
              <w:left w:val="single" w:color="auto" w:sz="8" w:space="0"/>
              <w:bottom w:val="single" w:color="auto" w:sz="8" w:space="0"/>
              <w:right w:val="single" w:color="auto" w:sz="4"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5</w:t>
            </w:r>
          </w:p>
        </w:tc>
        <w:tc>
          <w:tcPr>
            <w:tcW w:w="2115" w:type="dxa"/>
            <w:tcBorders>
              <w:top w:val="single" w:color="auto" w:sz="8" w:space="0"/>
              <w:left w:val="single" w:color="auto" w:sz="4" w:space="0"/>
              <w:bottom w:val="single" w:color="auto" w:sz="8" w:space="0"/>
              <w:right w:val="single" w:color="auto" w:sz="8"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4</w:t>
            </w:r>
          </w:p>
        </w:tc>
        <w:tc>
          <w:tcPr>
            <w:tcW w:w="19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1</w:t>
            </w:r>
          </w:p>
        </w:tc>
      </w:tr>
      <w:tr>
        <w:tblPrEx>
          <w:tblCellMar>
            <w:top w:w="0" w:type="dxa"/>
            <w:left w:w="113" w:type="dxa"/>
            <w:bottom w:w="0" w:type="dxa"/>
            <w:right w:w="0" w:type="dxa"/>
          </w:tblCellMar>
        </w:tblPrEx>
        <w:trPr>
          <w:trHeight w:val="404" w:hRule="atLeast"/>
          <w:jc w:val="center"/>
        </w:trPr>
        <w:tc>
          <w:tcPr>
            <w:tcW w:w="2773" w:type="dxa"/>
            <w:tcBorders>
              <w:top w:val="single" w:color="auto" w:sz="8" w:space="0"/>
              <w:left w:val="single" w:color="auto" w:sz="8" w:space="0"/>
              <w:bottom w:val="single" w:color="auto" w:sz="8" w:space="0"/>
              <w:right w:val="single" w:color="auto" w:sz="8" w:space="0"/>
            </w:tcBorders>
            <w:shd w:val="clear" w:color="auto" w:fill="B3B3B3"/>
            <w:vAlign w:val="center"/>
          </w:tcPr>
          <w:p>
            <w:pPr>
              <w:widowControl/>
              <w:spacing w:line="250" w:lineRule="atLeast"/>
              <w:rPr>
                <w:rFonts w:ascii="宋体" w:hAnsi="宋体" w:cs="宋体"/>
                <w:kern w:val="0"/>
                <w:sz w:val="18"/>
                <w:szCs w:val="18"/>
              </w:rPr>
            </w:pPr>
            <w:r>
              <w:rPr>
                <w:rFonts w:hint="eastAsia" w:ascii="宋体" w:hAnsi="宋体" w:cs="宋体"/>
                <w:b/>
                <w:bCs/>
                <w:kern w:val="0"/>
                <w:sz w:val="18"/>
                <w:szCs w:val="18"/>
              </w:rPr>
              <w:t>085409生物医学工程</w:t>
            </w:r>
          </w:p>
        </w:tc>
        <w:tc>
          <w:tcPr>
            <w:tcW w:w="1755" w:type="dxa"/>
            <w:tcBorders>
              <w:top w:val="single" w:color="auto" w:sz="8" w:space="0"/>
              <w:left w:val="single" w:color="auto" w:sz="8" w:space="0"/>
              <w:bottom w:val="single" w:color="auto" w:sz="8" w:space="0"/>
              <w:right w:val="single" w:color="auto" w:sz="4" w:space="0"/>
            </w:tcBorders>
            <w:shd w:val="clear" w:color="auto" w:fill="B3B3B3"/>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36</w:t>
            </w:r>
          </w:p>
        </w:tc>
        <w:tc>
          <w:tcPr>
            <w:tcW w:w="2115" w:type="dxa"/>
            <w:tcBorders>
              <w:top w:val="single" w:color="auto" w:sz="8" w:space="0"/>
              <w:left w:val="single" w:color="auto" w:sz="4" w:space="0"/>
              <w:bottom w:val="single" w:color="auto" w:sz="8" w:space="0"/>
              <w:right w:val="single" w:color="auto" w:sz="8" w:space="0"/>
            </w:tcBorders>
            <w:shd w:val="clear" w:color="auto" w:fill="B3B3B3"/>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32</w:t>
            </w:r>
          </w:p>
        </w:tc>
        <w:tc>
          <w:tcPr>
            <w:tcW w:w="1995" w:type="dxa"/>
            <w:tcBorders>
              <w:top w:val="single" w:color="auto" w:sz="8" w:space="0"/>
              <w:left w:val="single" w:color="auto" w:sz="8" w:space="0"/>
              <w:bottom w:val="single" w:color="auto" w:sz="8" w:space="0"/>
              <w:right w:val="single" w:color="auto" w:sz="4" w:space="0"/>
            </w:tcBorders>
            <w:shd w:val="clear" w:color="auto" w:fill="B3B3B3"/>
            <w:tcMar>
              <w:top w:w="0" w:type="dxa"/>
              <w:left w:w="108" w:type="dxa"/>
              <w:bottom w:w="0" w:type="dxa"/>
              <w:right w:w="108" w:type="dxa"/>
            </w:tcMar>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4</w:t>
            </w:r>
          </w:p>
        </w:tc>
      </w:tr>
      <w:tr>
        <w:tblPrEx>
          <w:tblCellMar>
            <w:top w:w="0" w:type="dxa"/>
            <w:left w:w="113" w:type="dxa"/>
            <w:bottom w:w="0" w:type="dxa"/>
            <w:right w:w="0" w:type="dxa"/>
          </w:tblCellMar>
        </w:tblPrEx>
        <w:trPr>
          <w:trHeight w:val="425" w:hRule="atLeast"/>
          <w:jc w:val="center"/>
        </w:trPr>
        <w:tc>
          <w:tcPr>
            <w:tcW w:w="2773" w:type="dxa"/>
            <w:tcBorders>
              <w:top w:val="single" w:color="auto" w:sz="8" w:space="0"/>
              <w:left w:val="single" w:color="auto" w:sz="8" w:space="0"/>
              <w:bottom w:val="single" w:color="auto" w:sz="8" w:space="0"/>
              <w:right w:val="single" w:color="auto" w:sz="8" w:space="0"/>
            </w:tcBorders>
            <w:vAlign w:val="center"/>
          </w:tcPr>
          <w:p>
            <w:pPr>
              <w:widowControl/>
              <w:spacing w:line="250" w:lineRule="atLeast"/>
              <w:rPr>
                <w:rFonts w:ascii="宋体" w:hAnsi="宋体" w:cs="宋体"/>
                <w:sz w:val="18"/>
                <w:szCs w:val="18"/>
              </w:rPr>
            </w:pPr>
            <w:r>
              <w:rPr>
                <w:rFonts w:hint="eastAsia" w:ascii="宋体" w:hAnsi="宋体" w:cs="宋体"/>
                <w:sz w:val="18"/>
                <w:szCs w:val="18"/>
              </w:rPr>
              <w:t>01生物电磁与神经调控</w:t>
            </w:r>
          </w:p>
          <w:p>
            <w:pPr>
              <w:widowControl/>
              <w:spacing w:line="250" w:lineRule="atLeast"/>
              <w:ind w:firstLine="180" w:firstLineChars="100"/>
              <w:rPr>
                <w:rFonts w:ascii="宋体" w:hAnsi="宋体" w:cs="宋体"/>
                <w:kern w:val="0"/>
                <w:sz w:val="18"/>
                <w:szCs w:val="18"/>
              </w:rPr>
            </w:pPr>
            <w:r>
              <w:rPr>
                <w:rFonts w:hint="eastAsia" w:ascii="宋体" w:hAnsi="宋体" w:cs="宋体"/>
                <w:kern w:val="0"/>
                <w:sz w:val="18"/>
                <w:szCs w:val="18"/>
              </w:rPr>
              <w:t>脑认知与神经工程</w:t>
            </w:r>
          </w:p>
          <w:p>
            <w:pPr>
              <w:widowControl/>
              <w:spacing w:line="250" w:lineRule="atLeast"/>
              <w:ind w:firstLine="180" w:firstLineChars="100"/>
              <w:rPr>
                <w:rFonts w:ascii="宋体" w:hAnsi="宋体" w:cs="宋体"/>
                <w:kern w:val="0"/>
                <w:sz w:val="18"/>
                <w:szCs w:val="18"/>
              </w:rPr>
            </w:pPr>
            <w:r>
              <w:rPr>
                <w:rFonts w:hint="eastAsia" w:ascii="宋体" w:hAnsi="宋体" w:cs="宋体"/>
                <w:kern w:val="0"/>
                <w:sz w:val="18"/>
                <w:szCs w:val="18"/>
              </w:rPr>
              <w:t>生物电磁功能成像与应用</w:t>
            </w:r>
          </w:p>
          <w:p>
            <w:pPr>
              <w:widowControl/>
              <w:spacing w:line="250" w:lineRule="atLeast"/>
              <w:ind w:firstLine="180" w:firstLineChars="100"/>
              <w:rPr>
                <w:rFonts w:ascii="宋体" w:hAnsi="宋体" w:cs="宋体"/>
                <w:color w:val="000000"/>
                <w:sz w:val="18"/>
                <w:szCs w:val="18"/>
              </w:rPr>
            </w:pPr>
            <w:r>
              <w:rPr>
                <w:rFonts w:hint="eastAsia" w:ascii="宋体" w:hAnsi="宋体" w:cs="宋体"/>
                <w:kern w:val="0"/>
                <w:sz w:val="18"/>
                <w:szCs w:val="18"/>
              </w:rPr>
              <w:t>智能医学与健康工程</w:t>
            </w:r>
          </w:p>
        </w:tc>
        <w:tc>
          <w:tcPr>
            <w:tcW w:w="1755" w:type="dxa"/>
            <w:tcBorders>
              <w:top w:val="single" w:color="auto" w:sz="8" w:space="0"/>
              <w:left w:val="single" w:color="auto" w:sz="8" w:space="0"/>
              <w:bottom w:val="single" w:color="auto" w:sz="8" w:space="0"/>
              <w:right w:val="single" w:color="auto" w:sz="4"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28</w:t>
            </w:r>
          </w:p>
        </w:tc>
        <w:tc>
          <w:tcPr>
            <w:tcW w:w="2115" w:type="dxa"/>
            <w:tcBorders>
              <w:top w:val="single" w:color="auto" w:sz="8" w:space="0"/>
              <w:left w:val="single" w:color="auto" w:sz="4" w:space="0"/>
              <w:bottom w:val="single" w:color="auto" w:sz="8" w:space="0"/>
              <w:right w:val="single" w:color="auto" w:sz="8"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25</w:t>
            </w:r>
          </w:p>
        </w:tc>
        <w:tc>
          <w:tcPr>
            <w:tcW w:w="19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3</w:t>
            </w:r>
          </w:p>
        </w:tc>
      </w:tr>
      <w:tr>
        <w:tblPrEx>
          <w:tblCellMar>
            <w:top w:w="0" w:type="dxa"/>
            <w:left w:w="113" w:type="dxa"/>
            <w:bottom w:w="0" w:type="dxa"/>
            <w:right w:w="0" w:type="dxa"/>
          </w:tblCellMar>
        </w:tblPrEx>
        <w:trPr>
          <w:trHeight w:val="1389" w:hRule="atLeast"/>
          <w:jc w:val="center"/>
        </w:trPr>
        <w:tc>
          <w:tcPr>
            <w:tcW w:w="2773"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 w:val="18"/>
                <w:szCs w:val="18"/>
              </w:rPr>
            </w:pPr>
            <w:r>
              <w:rPr>
                <w:rFonts w:hint="eastAsia" w:ascii="宋体" w:hAnsi="宋体" w:cs="宋体"/>
                <w:kern w:val="0"/>
                <w:sz w:val="18"/>
                <w:szCs w:val="18"/>
              </w:rPr>
              <w:t>02生物医学材料与器械</w:t>
            </w:r>
          </w:p>
          <w:p>
            <w:pPr>
              <w:ind w:firstLine="180" w:firstLineChars="100"/>
              <w:rPr>
                <w:rFonts w:ascii="宋体" w:hAnsi="宋体" w:cs="宋体"/>
                <w:kern w:val="0"/>
                <w:sz w:val="18"/>
                <w:szCs w:val="18"/>
              </w:rPr>
            </w:pPr>
            <w:r>
              <w:rPr>
                <w:rFonts w:hint="eastAsia" w:ascii="宋体" w:hAnsi="宋体" w:cs="宋体"/>
                <w:kern w:val="0"/>
                <w:sz w:val="18"/>
                <w:szCs w:val="18"/>
              </w:rPr>
              <w:t>组织工程与再生医学</w:t>
            </w:r>
          </w:p>
          <w:p>
            <w:pPr>
              <w:ind w:firstLine="180" w:firstLineChars="100"/>
              <w:rPr>
                <w:rFonts w:ascii="宋体" w:hAnsi="宋体" w:cs="宋体"/>
                <w:color w:val="000000"/>
                <w:sz w:val="18"/>
                <w:szCs w:val="18"/>
              </w:rPr>
            </w:pPr>
            <w:r>
              <w:rPr>
                <w:rFonts w:hint="eastAsia" w:ascii="宋体" w:hAnsi="宋体" w:cs="宋体"/>
                <w:kern w:val="0"/>
                <w:sz w:val="18"/>
                <w:szCs w:val="18"/>
              </w:rPr>
              <w:t>生物医学纳米技术</w:t>
            </w:r>
          </w:p>
        </w:tc>
        <w:tc>
          <w:tcPr>
            <w:tcW w:w="1755" w:type="dxa"/>
            <w:tcBorders>
              <w:top w:val="single" w:color="auto" w:sz="8" w:space="0"/>
              <w:left w:val="single" w:color="auto" w:sz="8" w:space="0"/>
              <w:bottom w:val="single" w:color="auto" w:sz="8" w:space="0"/>
              <w:right w:val="single" w:color="auto" w:sz="4"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8</w:t>
            </w:r>
          </w:p>
        </w:tc>
        <w:tc>
          <w:tcPr>
            <w:tcW w:w="2115" w:type="dxa"/>
            <w:tcBorders>
              <w:top w:val="single" w:color="auto" w:sz="8" w:space="0"/>
              <w:left w:val="single" w:color="auto" w:sz="4" w:space="0"/>
              <w:bottom w:val="single" w:color="auto" w:sz="8" w:space="0"/>
              <w:right w:val="single" w:color="auto" w:sz="8" w:space="0"/>
            </w:tcBorders>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7</w:t>
            </w:r>
          </w:p>
        </w:tc>
        <w:tc>
          <w:tcPr>
            <w:tcW w:w="19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line="250" w:lineRule="atLeast"/>
              <w:jc w:val="center"/>
              <w:rPr>
                <w:rFonts w:ascii="宋体" w:hAnsi="宋体" w:eastAsia="宋体" w:cs="宋体"/>
                <w:b/>
                <w:bCs/>
                <w:kern w:val="0"/>
                <w:szCs w:val="21"/>
              </w:rPr>
            </w:pPr>
            <w:r>
              <w:rPr>
                <w:rFonts w:hint="eastAsia" w:ascii="宋体" w:hAnsi="宋体" w:eastAsia="宋体" w:cs="宋体"/>
                <w:b/>
                <w:bCs/>
                <w:kern w:val="0"/>
                <w:szCs w:val="21"/>
              </w:rPr>
              <w:t>1</w:t>
            </w:r>
          </w:p>
        </w:tc>
      </w:tr>
    </w:tbl>
    <w:p>
      <w:pPr>
        <w:spacing w:line="580" w:lineRule="exact"/>
        <w:ind w:firstLine="640" w:firstLineChars="200"/>
        <w:rPr>
          <w:rFonts w:hint="eastAsia" w:ascii="楷体_GB2312" w:hAnsi="宋体" w:eastAsia="楷体_GB2312" w:cs="Times New Roman"/>
          <w:kern w:val="6"/>
          <w:sz w:val="32"/>
          <w:szCs w:val="32"/>
          <w:lang w:val="en-US" w:eastAsia="zh-CN"/>
        </w:rPr>
      </w:pPr>
      <w:r>
        <w:rPr>
          <w:rFonts w:hint="eastAsia" w:ascii="楷体_GB2312" w:hAnsi="宋体" w:eastAsia="楷体_GB2312" w:cs="Times New Roman"/>
          <w:kern w:val="6"/>
          <w:sz w:val="32"/>
          <w:szCs w:val="32"/>
          <w:lang w:val="en-US" w:eastAsia="zh-CN"/>
        </w:rPr>
        <w:t>（二）招生名额</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1.生物医学工程专业招收推免生的硕士招生名额充足，具体信息如上表，欢迎申报。</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2.生物医学工程博士点有直博生名额，招生对象为优秀的推免生，名额有限，欢迎申报。</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3.我院录取的学术学位推免生，在申请硕博连读时，同等条件下予以优先考虑。</w:t>
      </w:r>
    </w:p>
    <w:p>
      <w:pPr>
        <w:spacing w:line="580" w:lineRule="exact"/>
        <w:ind w:firstLine="640" w:firstLineChars="200"/>
        <w:rPr>
          <w:rFonts w:hint="eastAsia" w:ascii="楷体_GB2312" w:hAnsi="宋体" w:eastAsia="楷体_GB2312" w:cs="Times New Roman"/>
          <w:kern w:val="6"/>
          <w:sz w:val="32"/>
          <w:szCs w:val="32"/>
          <w:lang w:val="en-US" w:eastAsia="zh-CN"/>
        </w:rPr>
      </w:pPr>
      <w:r>
        <w:rPr>
          <w:rFonts w:hint="eastAsia" w:ascii="楷体_GB2312" w:hAnsi="宋体" w:eastAsia="楷体_GB2312" w:cs="Times New Roman"/>
          <w:kern w:val="6"/>
          <w:sz w:val="32"/>
          <w:szCs w:val="32"/>
          <w:lang w:val="en-US" w:eastAsia="zh-CN"/>
        </w:rPr>
        <w:t>（三）招生对象和条件</w:t>
      </w:r>
    </w:p>
    <w:p>
      <w:pPr>
        <w:spacing w:line="580" w:lineRule="exact"/>
        <w:ind w:firstLine="645"/>
        <w:rPr>
          <w:rFonts w:hint="eastAsia" w:ascii="仿宋_GB2312" w:hAnsi="宋体" w:eastAsia="仿宋_GB2312" w:cs="Times New Roman"/>
          <w:kern w:val="6"/>
          <w:sz w:val="32"/>
          <w:szCs w:val="32"/>
        </w:rPr>
      </w:pPr>
      <w:r>
        <w:rPr>
          <w:rFonts w:hint="eastAsia" w:ascii="宋体" w:hAnsi="宋体" w:eastAsia="宋体" w:cs="宋体"/>
          <w:b/>
          <w:bCs/>
          <w:color w:val="333333"/>
          <w:spacing w:val="8"/>
          <w:kern w:val="0"/>
          <w:sz w:val="28"/>
          <w:szCs w:val="28"/>
        </w:rPr>
        <w:t xml:space="preserve">  </w:t>
      </w:r>
      <w:r>
        <w:rPr>
          <w:rFonts w:hint="eastAsia" w:ascii="仿宋_GB2312" w:hAnsi="宋体" w:eastAsia="仿宋_GB2312" w:cs="Times New Roman"/>
          <w:kern w:val="6"/>
          <w:sz w:val="32"/>
          <w:szCs w:val="32"/>
        </w:rPr>
        <w:t xml:space="preserve"> 1.招生对象</w:t>
      </w: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申请人必须为具有推免资格高校的优秀应届本科毕业生，并获得所在学校推荐免试资格。</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2.招生条件</w:t>
      </w: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申请人具有高尚的爱国主义情操和集体主义精神，社会主义信念坚定，社会责任感强，遵纪守法，积极向上，身心健康，诚实守信，学风端正，无任何考试作弊和剽窃他人学术成果的记录。品行表现优良，无任何违法违纪受处分的记录。</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申请人学术研究兴趣浓厚，有较强的创新意识、创新能力和专业能力，且本科期间勤奋学习，刻苦钻研，成绩优秀，被推荐高校列入推免生名单。</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申请人英语基础较好，通过国家大学英语四级考试(425分及以上)。</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申请人身体健康状况应符合教育部规定的体检标准。</w:t>
      </w:r>
    </w:p>
    <w:p>
      <w:pPr>
        <w:spacing w:line="580" w:lineRule="exact"/>
        <w:ind w:firstLine="640" w:firstLineChars="200"/>
        <w:rPr>
          <w:rFonts w:hint="eastAsia" w:ascii="楷体_GB2312" w:hAnsi="宋体" w:eastAsia="楷体_GB2312" w:cs="Times New Roman"/>
          <w:kern w:val="6"/>
          <w:sz w:val="32"/>
          <w:szCs w:val="32"/>
        </w:rPr>
      </w:pPr>
      <w:r>
        <w:rPr>
          <w:rFonts w:hint="eastAsia" w:ascii="楷体_GB2312" w:hAnsi="宋体" w:eastAsia="楷体_GB2312" w:cs="Times New Roman"/>
          <w:kern w:val="6"/>
          <w:sz w:val="32"/>
          <w:szCs w:val="32"/>
          <w:lang w:eastAsia="zh-CN"/>
        </w:rPr>
        <w:t>（</w:t>
      </w:r>
      <w:r>
        <w:rPr>
          <w:rFonts w:hint="eastAsia" w:ascii="楷体_GB2312" w:hAnsi="宋体" w:eastAsia="楷体_GB2312" w:cs="Times New Roman"/>
          <w:kern w:val="6"/>
          <w:sz w:val="32"/>
          <w:szCs w:val="32"/>
          <w:lang w:val="en-US" w:eastAsia="zh-CN"/>
        </w:rPr>
        <w:t>四）</w:t>
      </w:r>
      <w:r>
        <w:rPr>
          <w:rFonts w:hint="eastAsia" w:ascii="楷体_GB2312" w:hAnsi="宋体" w:eastAsia="楷体_GB2312" w:cs="Times New Roman"/>
          <w:kern w:val="6"/>
          <w:sz w:val="32"/>
          <w:szCs w:val="32"/>
        </w:rPr>
        <w:t>申请材料</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1.申请攻读硕士学位的推免生填写《河北工业大学2022年接收优秀应届本科毕业生推荐免试攻读硕士学位研究生复试申请表》（见附件1）。</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申请攻读博士学位的直博推免生填写</w:t>
      </w:r>
      <w:bookmarkStart w:id="0" w:name="_Hlk50748124"/>
      <w:r>
        <w:rPr>
          <w:rFonts w:hint="eastAsia" w:ascii="仿宋_GB2312" w:hAnsi="宋体" w:eastAsia="仿宋_GB2312" w:cs="Times New Roman"/>
          <w:kern w:val="6"/>
          <w:sz w:val="32"/>
          <w:szCs w:val="32"/>
        </w:rPr>
        <w:t>《河北工业大学2022年接收优秀应届本科毕业生直接攻读博士学位研究生报名登记表》（附件2）</w:t>
      </w:r>
      <w:bookmarkEnd w:id="0"/>
      <w:r>
        <w:rPr>
          <w:rFonts w:hint="eastAsia" w:ascii="仿宋_GB2312" w:hAnsi="宋体" w:eastAsia="仿宋_GB2312" w:cs="Times New Roman"/>
          <w:kern w:val="6"/>
          <w:sz w:val="32"/>
          <w:szCs w:val="32"/>
        </w:rPr>
        <w:t>。</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2.本人学生证原件、身份证原件及复印件。</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3.英语水平考试成绩单原件及复印件。</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4.1-6学期的本科阶段大学成绩单原件（须加盖教务部门公章）及复印件。</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5.有公开发表的学术论文、科研成果或获奖证书者，提供原件及复印件。</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6.其他体现自身能力和水平的相关材料。</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7.个人简历。</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8.河北工业大学生命科学与健康工程学院推免生面试表。（见附件3）</w:t>
      </w:r>
    </w:p>
    <w:p>
      <w:pPr>
        <w:spacing w:line="580" w:lineRule="exact"/>
        <w:ind w:firstLine="640" w:firstLineChars="200"/>
        <w:rPr>
          <w:rFonts w:hint="eastAsia" w:ascii="楷体_GB2312" w:hAnsi="宋体" w:eastAsia="楷体_GB2312" w:cs="Times New Roman"/>
          <w:kern w:val="6"/>
          <w:sz w:val="32"/>
          <w:szCs w:val="32"/>
        </w:rPr>
      </w:pPr>
      <w:r>
        <w:rPr>
          <w:rFonts w:hint="eastAsia" w:ascii="楷体_GB2312" w:hAnsi="宋体" w:eastAsia="楷体_GB2312" w:cs="Times New Roman"/>
          <w:kern w:val="6"/>
          <w:sz w:val="32"/>
          <w:szCs w:val="32"/>
          <w:lang w:eastAsia="zh-CN"/>
        </w:rPr>
        <w:t>（</w:t>
      </w:r>
      <w:r>
        <w:rPr>
          <w:rFonts w:hint="eastAsia" w:ascii="楷体_GB2312" w:hAnsi="宋体" w:eastAsia="楷体_GB2312" w:cs="Times New Roman"/>
          <w:kern w:val="6"/>
          <w:sz w:val="32"/>
          <w:szCs w:val="32"/>
          <w:lang w:val="en-US" w:eastAsia="zh-CN"/>
        </w:rPr>
        <w:t>五</w:t>
      </w:r>
      <w:r>
        <w:rPr>
          <w:rFonts w:hint="eastAsia" w:ascii="楷体_GB2312" w:hAnsi="宋体" w:eastAsia="楷体_GB2312" w:cs="Times New Roman"/>
          <w:kern w:val="6"/>
          <w:sz w:val="32"/>
          <w:szCs w:val="32"/>
          <w:lang w:eastAsia="zh-CN"/>
        </w:rPr>
        <w:t>）</w:t>
      </w:r>
      <w:r>
        <w:rPr>
          <w:rFonts w:hint="eastAsia" w:ascii="楷体_GB2312" w:hAnsi="宋体" w:eastAsia="楷体_GB2312" w:cs="Times New Roman"/>
          <w:kern w:val="6"/>
          <w:sz w:val="32"/>
          <w:szCs w:val="32"/>
        </w:rPr>
        <w:t>报名和面试工作安排</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推免生须发送电子邮件到hebutsmtm@163.com报名,邮件主题以“姓名-本科学校-生医学硕”或“姓名-本科学校-生医专硕”命名，将《申请表》等材料扫描件合并为一个PDF文件，文件命名和邮件主题一致，并将文件上传为邮件附件。</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1、第一轮面试</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1）发送报名材料</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2021年9月15日20:00前，将报名材料电子版打包发送至指定邮箱（以接收日期为准）。</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2）面试安排</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面试日期为2021年9月17日，具体时间和面试形式另行邮件或电话通知。</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2、第二轮面试</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1）发送报名材料</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2021年9月20日20:00前，将报名材料电子版打包发送至指定邮箱（以接收日期为准）。</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2）面试安排</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面试日期：2021年9月22日，具体时间和面试形式另行邮件或电话通知。</w:t>
      </w:r>
    </w:p>
    <w:p>
      <w:pPr>
        <w:spacing w:line="580" w:lineRule="exact"/>
        <w:ind w:firstLine="645"/>
        <w:rPr>
          <w:rFonts w:hint="eastAsia" w:ascii="仿宋_GB2312" w:hAnsi="宋体" w:eastAsia="仿宋_GB2312" w:cs="Times New Roman"/>
          <w:kern w:val="6"/>
          <w:sz w:val="32"/>
          <w:szCs w:val="32"/>
        </w:rPr>
      </w:pP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3、第三轮面试</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1）发送报名材料</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202</w:t>
      </w:r>
      <w:r>
        <w:rPr>
          <w:rFonts w:hint="eastAsia" w:ascii="仿宋_GB2312" w:hAnsi="宋体" w:eastAsia="仿宋_GB2312" w:cs="Times New Roman"/>
          <w:kern w:val="6"/>
          <w:sz w:val="32"/>
          <w:szCs w:val="32"/>
          <w:lang w:val="en-US" w:eastAsia="zh-CN"/>
        </w:rPr>
        <w:t>1</w:t>
      </w:r>
      <w:r>
        <w:rPr>
          <w:rFonts w:hint="eastAsia" w:ascii="仿宋_GB2312" w:hAnsi="宋体" w:eastAsia="仿宋_GB2312" w:cs="Times New Roman"/>
          <w:kern w:val="6"/>
          <w:sz w:val="32"/>
          <w:szCs w:val="32"/>
        </w:rPr>
        <w:t>年9月23日12:00前，将报名材料电子版打包发送至指定邮箱（以接收日期为准）。</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2）面试安排</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面试日期：202</w:t>
      </w:r>
      <w:r>
        <w:rPr>
          <w:rFonts w:hint="eastAsia" w:ascii="仿宋_GB2312" w:hAnsi="宋体" w:eastAsia="仿宋_GB2312" w:cs="Times New Roman"/>
          <w:kern w:val="6"/>
          <w:sz w:val="32"/>
          <w:szCs w:val="32"/>
          <w:lang w:val="en-US" w:eastAsia="zh-CN"/>
        </w:rPr>
        <w:t>1</w:t>
      </w:r>
      <w:r>
        <w:rPr>
          <w:rFonts w:hint="eastAsia" w:ascii="仿宋_GB2312" w:hAnsi="宋体" w:eastAsia="仿宋_GB2312" w:cs="Times New Roman"/>
          <w:kern w:val="6"/>
          <w:sz w:val="32"/>
          <w:szCs w:val="32"/>
        </w:rPr>
        <w:t>年9月24日，具体时间和面试形式另行邮件或电话通知。</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4、第四轮面试</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1）发送报名材料</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2021年9月27日20:00前，将报名材料电子版打包发送至指定邮箱（以接收日期为准）。</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2）面试安排</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面试日期：2021年9月29日，具体时间和面试形式另行邮件或电话通知。</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5、第五轮面试</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1）发送报名材料</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202</w:t>
      </w:r>
      <w:r>
        <w:rPr>
          <w:rFonts w:hint="eastAsia" w:ascii="仿宋_GB2312" w:hAnsi="宋体" w:eastAsia="仿宋_GB2312" w:cs="Times New Roman"/>
          <w:kern w:val="6"/>
          <w:sz w:val="32"/>
          <w:szCs w:val="32"/>
          <w:lang w:val="en-US" w:eastAsia="zh-CN"/>
        </w:rPr>
        <w:t>1</w:t>
      </w:r>
      <w:r>
        <w:rPr>
          <w:rFonts w:hint="eastAsia" w:ascii="仿宋_GB2312" w:hAnsi="宋体" w:eastAsia="仿宋_GB2312" w:cs="Times New Roman"/>
          <w:kern w:val="6"/>
          <w:sz w:val="32"/>
          <w:szCs w:val="32"/>
        </w:rPr>
        <w:t>年9月29日</w:t>
      </w:r>
      <w:bookmarkStart w:id="1" w:name="_GoBack"/>
      <w:bookmarkEnd w:id="1"/>
      <w:r>
        <w:rPr>
          <w:rFonts w:hint="eastAsia" w:ascii="仿宋_GB2312" w:hAnsi="宋体" w:eastAsia="仿宋_GB2312" w:cs="Times New Roman"/>
          <w:kern w:val="6"/>
          <w:sz w:val="32"/>
          <w:szCs w:val="32"/>
        </w:rPr>
        <w:t>12:00前，将报名材料电子版打包发送至指定邮箱（以接收日期为准）。</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lang w:eastAsia="zh-CN"/>
        </w:rPr>
        <w:t>（</w:t>
      </w:r>
      <w:r>
        <w:rPr>
          <w:rFonts w:hint="eastAsia" w:ascii="仿宋_GB2312" w:hAnsi="宋体" w:eastAsia="仿宋_GB2312" w:cs="Times New Roman"/>
          <w:kern w:val="6"/>
          <w:sz w:val="32"/>
          <w:szCs w:val="32"/>
        </w:rPr>
        <w:t>2）面试安排</w:t>
      </w:r>
    </w:p>
    <w:p>
      <w:pPr>
        <w:spacing w:line="580" w:lineRule="exact"/>
        <w:ind w:firstLine="645"/>
        <w:rPr>
          <w:rFonts w:ascii="宋体" w:hAnsi="宋体" w:eastAsia="宋体" w:cs="宋体"/>
          <w:color w:val="333333"/>
          <w:spacing w:val="8"/>
          <w:kern w:val="0"/>
          <w:sz w:val="28"/>
          <w:szCs w:val="28"/>
        </w:rPr>
      </w:pPr>
      <w:r>
        <w:rPr>
          <w:rFonts w:hint="eastAsia" w:ascii="仿宋_GB2312" w:hAnsi="宋体" w:eastAsia="仿宋_GB2312" w:cs="Times New Roman"/>
          <w:kern w:val="6"/>
          <w:sz w:val="32"/>
          <w:szCs w:val="32"/>
        </w:rPr>
        <w:t>面试日期：202</w:t>
      </w:r>
      <w:r>
        <w:rPr>
          <w:rFonts w:hint="eastAsia" w:ascii="仿宋_GB2312" w:hAnsi="宋体" w:eastAsia="仿宋_GB2312" w:cs="Times New Roman"/>
          <w:kern w:val="6"/>
          <w:sz w:val="32"/>
          <w:szCs w:val="32"/>
          <w:lang w:val="en-US" w:eastAsia="zh-CN"/>
        </w:rPr>
        <w:t>1</w:t>
      </w:r>
      <w:r>
        <w:rPr>
          <w:rFonts w:hint="eastAsia" w:ascii="仿宋_GB2312" w:hAnsi="宋体" w:eastAsia="仿宋_GB2312" w:cs="Times New Roman"/>
          <w:kern w:val="6"/>
          <w:sz w:val="32"/>
          <w:szCs w:val="32"/>
        </w:rPr>
        <w:t>年9月30日，具体时间和面试形式另行邮件或电话通知。</w:t>
      </w:r>
    </w:p>
    <w:p>
      <w:pPr>
        <w:spacing w:line="580" w:lineRule="exact"/>
        <w:ind w:firstLine="645"/>
        <w:rPr>
          <w:rFonts w:hint="eastAsia" w:ascii="黑体" w:hAnsi="黑体" w:eastAsia="黑体" w:cs="Times New Roman"/>
          <w:kern w:val="6"/>
          <w:sz w:val="32"/>
          <w:szCs w:val="32"/>
        </w:rPr>
      </w:pPr>
      <w:r>
        <w:rPr>
          <w:rFonts w:hint="eastAsia" w:ascii="黑体" w:hAnsi="黑体" w:eastAsia="黑体" w:cs="Times New Roman"/>
          <w:kern w:val="6"/>
          <w:sz w:val="32"/>
          <w:szCs w:val="32"/>
        </w:rPr>
        <w:t>四、奖助政策</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1</w:t>
      </w:r>
      <w:r>
        <w:rPr>
          <w:rFonts w:hint="eastAsia" w:ascii="仿宋_GB2312" w:hAnsi="宋体" w:eastAsia="仿宋_GB2312" w:cs="Times New Roman"/>
          <w:kern w:val="6"/>
          <w:sz w:val="32"/>
          <w:szCs w:val="32"/>
          <w:lang w:val="en-US" w:eastAsia="zh-CN"/>
        </w:rPr>
        <w:t>.</w:t>
      </w:r>
      <w:r>
        <w:rPr>
          <w:rFonts w:hint="eastAsia" w:ascii="仿宋_GB2312" w:hAnsi="宋体" w:eastAsia="仿宋_GB2312" w:cs="Times New Roman"/>
          <w:kern w:val="6"/>
          <w:sz w:val="32"/>
          <w:szCs w:val="32"/>
        </w:rPr>
        <w:t>全日制非定向推免硕士生可按学校有关规定享受或申请国家助学金、国家奖学金、学业奖学金等。</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2</w:t>
      </w:r>
      <w:r>
        <w:rPr>
          <w:rFonts w:hint="eastAsia" w:ascii="仿宋_GB2312" w:hAnsi="宋体" w:eastAsia="仿宋_GB2312" w:cs="Times New Roman"/>
          <w:kern w:val="6"/>
          <w:sz w:val="32"/>
          <w:szCs w:val="32"/>
          <w:lang w:val="en-US" w:eastAsia="zh-CN"/>
        </w:rPr>
        <w:t>.</w:t>
      </w:r>
      <w:r>
        <w:rPr>
          <w:rFonts w:hint="eastAsia" w:ascii="仿宋_GB2312" w:hAnsi="宋体" w:eastAsia="仿宋_GB2312" w:cs="Times New Roman"/>
          <w:kern w:val="6"/>
          <w:sz w:val="32"/>
          <w:szCs w:val="32"/>
        </w:rPr>
        <w:t>我校录取的推免硕士生，在申请硕博连读时，同等条件下予以优先考虑。</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3</w:t>
      </w:r>
      <w:r>
        <w:rPr>
          <w:rFonts w:hint="eastAsia" w:ascii="仿宋_GB2312" w:hAnsi="宋体" w:eastAsia="仿宋_GB2312" w:cs="Times New Roman"/>
          <w:kern w:val="6"/>
          <w:sz w:val="32"/>
          <w:szCs w:val="32"/>
          <w:lang w:val="en-US" w:eastAsia="zh-CN"/>
        </w:rPr>
        <w:t>.</w:t>
      </w:r>
      <w:r>
        <w:rPr>
          <w:rFonts w:hint="eastAsia" w:ascii="仿宋_GB2312" w:hAnsi="宋体" w:eastAsia="仿宋_GB2312" w:cs="Times New Roman"/>
          <w:kern w:val="6"/>
          <w:sz w:val="32"/>
          <w:szCs w:val="32"/>
        </w:rPr>
        <w:t>直博生的奖学金、助学金等奖助政策按学校有关文件执行。</w:t>
      </w:r>
    </w:p>
    <w:p>
      <w:pPr>
        <w:spacing w:line="580" w:lineRule="exact"/>
        <w:ind w:firstLine="645"/>
        <w:rPr>
          <w:rFonts w:hint="eastAsia" w:ascii="黑体" w:hAnsi="黑体" w:eastAsia="黑体" w:cs="Times New Roman"/>
          <w:kern w:val="6"/>
          <w:sz w:val="32"/>
          <w:szCs w:val="32"/>
        </w:rPr>
      </w:pPr>
      <w:r>
        <w:rPr>
          <w:rFonts w:hint="eastAsia" w:ascii="黑体" w:hAnsi="黑体" w:eastAsia="黑体" w:cs="Times New Roman"/>
          <w:kern w:val="6"/>
          <w:sz w:val="32"/>
          <w:szCs w:val="32"/>
        </w:rPr>
        <w:t>五、咨询及联系方式</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河北工业大学研招办：天津市北辰区西平道5340号，河北工业大学北辰校区行政楼B区二楼B214，300401。电话022-60438300。</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生命科学与健康工程学院研究生教学办公室：天津市红桥区光荣道8号，河北工业大学丁字沽校区东院七教1308，邮编300130，电话022-60203542。</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联系人1：刘珺，手机15692208368</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联系人2：沈阳，手机18214737957</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咨询QQ群:794255269</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咨询微信群：</w:t>
      </w:r>
    </w:p>
    <w:p>
      <w:pPr>
        <w:widowControl/>
        <w:shd w:val="clear" w:color="auto" w:fill="FFFFFF"/>
        <w:ind w:firstLine="480"/>
        <w:rPr>
          <w:rFonts w:ascii="宋体" w:hAnsi="宋体" w:cs="宋体"/>
          <w:color w:val="FF0000"/>
          <w:spacing w:val="8"/>
          <w:kern w:val="0"/>
          <w:sz w:val="28"/>
          <w:szCs w:val="28"/>
        </w:rPr>
      </w:pPr>
      <w:r>
        <w:rPr>
          <w:rFonts w:hint="eastAsia" w:ascii="宋体" w:hAnsi="宋体" w:cs="宋体"/>
          <w:color w:val="FF0000"/>
          <w:spacing w:val="8"/>
          <w:kern w:val="0"/>
          <w:sz w:val="28"/>
          <w:szCs w:val="28"/>
        </w:rPr>
        <w:drawing>
          <wp:inline distT="0" distB="0" distL="114300" distR="114300">
            <wp:extent cx="2370455" cy="2901950"/>
            <wp:effectExtent l="0" t="0" r="6985" b="8890"/>
            <wp:docPr id="2" name="图片 2" descr="be1a38e1054c33e0e39daa47586df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1a38e1054c33e0e39daa47586df64"/>
                    <pic:cNvPicPr>
                      <a:picLocks noChangeAspect="1"/>
                    </pic:cNvPicPr>
                  </pic:nvPicPr>
                  <pic:blipFill>
                    <a:blip r:embed="rId4"/>
                    <a:stretch>
                      <a:fillRect/>
                    </a:stretch>
                  </pic:blipFill>
                  <pic:spPr>
                    <a:xfrm>
                      <a:off x="0" y="0"/>
                      <a:ext cx="2370455" cy="2901950"/>
                    </a:xfrm>
                    <a:prstGeom prst="rect">
                      <a:avLst/>
                    </a:prstGeom>
                  </pic:spPr>
                </pic:pic>
              </a:graphicData>
            </a:graphic>
          </wp:inline>
        </w:drawing>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河工大生医微信公众号：HebutBME</w:t>
      </w:r>
    </w:p>
    <w:p>
      <w:pPr>
        <w:spacing w:line="580" w:lineRule="exact"/>
        <w:ind w:firstLine="645"/>
        <w:rPr>
          <w:rFonts w:hint="eastAsia" w:ascii="黑体" w:hAnsi="黑体" w:eastAsia="黑体" w:cs="Times New Roman"/>
          <w:kern w:val="6"/>
          <w:sz w:val="32"/>
          <w:szCs w:val="32"/>
        </w:rPr>
      </w:pPr>
      <w:r>
        <w:rPr>
          <w:rFonts w:hint="eastAsia" w:ascii="黑体" w:hAnsi="黑体" w:eastAsia="黑体" w:cs="Times New Roman"/>
          <w:kern w:val="6"/>
          <w:sz w:val="32"/>
          <w:szCs w:val="32"/>
        </w:rPr>
        <w:t>六、补充说明</w:t>
      </w:r>
    </w:p>
    <w:p>
      <w:pPr>
        <w:spacing w:line="580" w:lineRule="exact"/>
        <w:ind w:firstLine="645"/>
        <w:rPr>
          <w:rFonts w:hint="eastAsia" w:ascii="仿宋_GB2312" w:hAnsi="宋体" w:eastAsia="仿宋_GB2312" w:cs="Times New Roman"/>
          <w:kern w:val="6"/>
          <w:sz w:val="32"/>
          <w:szCs w:val="32"/>
        </w:rPr>
      </w:pPr>
      <w:r>
        <w:rPr>
          <w:rFonts w:hint="eastAsia" w:ascii="仿宋_GB2312" w:hAnsi="宋体" w:eastAsia="仿宋_GB2312" w:cs="Times New Roman"/>
          <w:kern w:val="6"/>
          <w:sz w:val="32"/>
          <w:szCs w:val="32"/>
        </w:rPr>
        <w:t>根据国务院学位委员会《关于对已有的工程硕士、博士专业学位授权点进行对应调整的通知》（学位〔2018〕28号）的相关要求，我校原工程硕士的17个领域对应调整为新的8个类别。</w:t>
      </w:r>
    </w:p>
    <w:p>
      <w:pPr>
        <w:spacing w:line="580" w:lineRule="exact"/>
        <w:ind w:firstLine="645"/>
        <w:rPr>
          <w:rFonts w:hint="eastAsia" w:ascii="仿宋_GB2312" w:hAnsi="宋体" w:eastAsia="仿宋_GB2312" w:cs="Times New Roman"/>
          <w:kern w:val="6"/>
          <w:sz w:val="32"/>
          <w:szCs w:val="32"/>
          <w:lang w:eastAsia="zh-CN"/>
        </w:rPr>
      </w:pPr>
      <w:r>
        <w:rPr>
          <w:rFonts w:hint="eastAsia" w:ascii="仿宋_GB2312" w:hAnsi="宋体" w:eastAsia="仿宋_GB2312" w:cs="Times New Roman"/>
          <w:kern w:val="6"/>
          <w:sz w:val="32"/>
          <w:szCs w:val="32"/>
        </w:rPr>
        <w:t>按照教育部工程教指委制定的《电子信息等8种专业学位类别专业领域指导性目录》，2022年我院生物医学工程学科招收专业学位硕士研究生，领域名称：生物医学工程，领域代码：085409</w:t>
      </w:r>
      <w:r>
        <w:rPr>
          <w:rFonts w:hint="eastAsia" w:ascii="仿宋_GB2312" w:hAnsi="宋体" w:eastAsia="仿宋_GB2312" w:cs="Times New Roman"/>
          <w:kern w:val="6"/>
          <w:sz w:val="32"/>
          <w:szCs w:val="32"/>
          <w:lang w:eastAsia="zh-CN"/>
        </w:rPr>
        <w:t>。</w:t>
      </w:r>
    </w:p>
    <w:p>
      <w:pPr>
        <w:spacing w:line="580" w:lineRule="exact"/>
        <w:ind w:left="1590" w:leftChars="300" w:hanging="960" w:hangingChars="300"/>
        <w:rPr>
          <w:rFonts w:hint="eastAsia" w:ascii="仿宋_GB2312" w:hAnsi="Times New Roman" w:eastAsia="仿宋_GB2312" w:cs="Times New Roman"/>
          <w:sz w:val="32"/>
          <w:szCs w:val="32"/>
        </w:rPr>
      </w:pPr>
    </w:p>
    <w:p>
      <w:pPr>
        <w:spacing w:line="580" w:lineRule="exact"/>
        <w:ind w:left="1590" w:leftChars="300" w:hanging="960" w:hangingChars="3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河北工业大学2022年接收优秀应届本科毕业生推荐免试攻读硕士学位研究生复试申请表</w:t>
      </w:r>
    </w:p>
    <w:p>
      <w:pPr>
        <w:spacing w:line="580" w:lineRule="exact"/>
        <w:ind w:left="1588" w:leftChars="756" w:firstLine="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河北工业大学2022年接收优秀应届本科毕业生直接攻读博士学位研究生报名登记表</w:t>
      </w:r>
    </w:p>
    <w:p>
      <w:pPr>
        <w:spacing w:line="580" w:lineRule="exact"/>
        <w:ind w:left="1588" w:leftChars="756" w:firstLine="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河北工业大学生命科学与健康工程学院推免生面试表。</w:t>
      </w:r>
    </w:p>
    <w:p>
      <w:pPr>
        <w:pStyle w:val="15"/>
        <w:widowControl/>
        <w:shd w:val="clear" w:color="auto" w:fill="FFFFFF"/>
        <w:ind w:left="720" w:firstLine="0" w:firstLineChars="0"/>
        <w:rPr>
          <w:rFonts w:ascii="宋体" w:hAnsi="宋体" w:eastAsia="宋体" w:cs="宋体"/>
          <w:color w:val="333333"/>
          <w:spacing w:val="8"/>
          <w:kern w:val="0"/>
          <w:sz w:val="28"/>
          <w:szCs w:val="28"/>
        </w:rPr>
      </w:pPr>
      <w:r>
        <w:rPr>
          <w:rFonts w:hint="eastAsia" w:ascii="宋体" w:hAnsi="宋体" w:eastAsia="宋体" w:cs="宋体"/>
          <w:color w:val="333333"/>
          <w:spacing w:val="8"/>
          <w:kern w:val="0"/>
          <w:sz w:val="28"/>
          <w:szCs w:val="28"/>
        </w:rPr>
        <w:t xml:space="preserve"> </w:t>
      </w:r>
      <w:r>
        <w:rPr>
          <w:rFonts w:ascii="宋体" w:hAnsi="宋体" w:eastAsia="宋体" w:cs="宋体"/>
          <w:color w:val="333333"/>
          <w:spacing w:val="8"/>
          <w:kern w:val="0"/>
          <w:sz w:val="28"/>
          <w:szCs w:val="28"/>
        </w:rPr>
        <w:t xml:space="preserve">                       </w:t>
      </w:r>
    </w:p>
    <w:p>
      <w:pPr>
        <w:pStyle w:val="15"/>
        <w:widowControl/>
        <w:shd w:val="clear" w:color="auto" w:fill="FFFFFF"/>
        <w:ind w:left="720" w:firstLine="0" w:firstLineChars="0"/>
        <w:jc w:val="right"/>
        <w:rPr>
          <w:rFonts w:hint="eastAsia" w:ascii="仿宋_GB2312" w:hAnsi="宋体" w:eastAsia="仿宋_GB2312" w:cs="Times New Roman"/>
          <w:kern w:val="6"/>
          <w:sz w:val="32"/>
          <w:szCs w:val="32"/>
          <w:lang w:val="en-US" w:eastAsia="zh-CN" w:bidi="ar-SA"/>
        </w:rPr>
      </w:pPr>
      <w:r>
        <w:rPr>
          <w:rFonts w:ascii="宋体" w:hAnsi="宋体" w:eastAsia="宋体" w:cs="宋体"/>
          <w:color w:val="333333"/>
          <w:spacing w:val="8"/>
          <w:kern w:val="0"/>
          <w:sz w:val="28"/>
          <w:szCs w:val="28"/>
        </w:rPr>
        <w:t xml:space="preserve">            </w:t>
      </w:r>
      <w:r>
        <w:rPr>
          <w:rFonts w:hint="eastAsia" w:ascii="仿宋_GB2312" w:hAnsi="宋体" w:eastAsia="仿宋_GB2312" w:cs="Times New Roman"/>
          <w:kern w:val="6"/>
          <w:sz w:val="32"/>
          <w:szCs w:val="32"/>
          <w:lang w:val="en-US" w:eastAsia="zh-CN" w:bidi="ar-SA"/>
        </w:rPr>
        <w:t xml:space="preserve"> 河北工业大学生命科学与健康工程学院</w:t>
      </w:r>
    </w:p>
    <w:p>
      <w:pPr>
        <w:pStyle w:val="15"/>
        <w:widowControl/>
        <w:shd w:val="clear" w:color="auto" w:fill="FFFFFF"/>
        <w:ind w:left="720" w:firstLine="0" w:firstLineChars="0"/>
        <w:jc w:val="right"/>
        <w:rPr>
          <w:rFonts w:hint="eastAsia" w:ascii="仿宋_GB2312" w:hAnsi="宋体" w:eastAsia="仿宋_GB2312" w:cs="Times New Roman"/>
          <w:kern w:val="6"/>
          <w:sz w:val="32"/>
          <w:szCs w:val="32"/>
          <w:lang w:val="en-US" w:eastAsia="zh-CN" w:bidi="ar-SA"/>
        </w:rPr>
      </w:pPr>
      <w:r>
        <w:rPr>
          <w:rFonts w:hint="eastAsia" w:ascii="仿宋_GB2312" w:hAnsi="宋体" w:eastAsia="仿宋_GB2312" w:cs="Times New Roman"/>
          <w:kern w:val="6"/>
          <w:sz w:val="32"/>
          <w:szCs w:val="32"/>
          <w:lang w:val="en-US" w:eastAsia="zh-CN" w:bidi="ar-SA"/>
        </w:rPr>
        <w:t xml:space="preserve">                            2021年9月10日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9B"/>
    <w:rsid w:val="0000191D"/>
    <w:rsid w:val="00017B32"/>
    <w:rsid w:val="00084A20"/>
    <w:rsid w:val="000A0179"/>
    <w:rsid w:val="000C7285"/>
    <w:rsid w:val="000E0D14"/>
    <w:rsid w:val="000E387E"/>
    <w:rsid w:val="000F026A"/>
    <w:rsid w:val="001156C8"/>
    <w:rsid w:val="00125163"/>
    <w:rsid w:val="0014250F"/>
    <w:rsid w:val="00186D93"/>
    <w:rsid w:val="001B5296"/>
    <w:rsid w:val="00206692"/>
    <w:rsid w:val="0020714E"/>
    <w:rsid w:val="00243DB6"/>
    <w:rsid w:val="00245B27"/>
    <w:rsid w:val="0025320C"/>
    <w:rsid w:val="00264438"/>
    <w:rsid w:val="002655AF"/>
    <w:rsid w:val="002809B9"/>
    <w:rsid w:val="002B1435"/>
    <w:rsid w:val="002E2721"/>
    <w:rsid w:val="002F030A"/>
    <w:rsid w:val="0030262D"/>
    <w:rsid w:val="00307990"/>
    <w:rsid w:val="00340AD1"/>
    <w:rsid w:val="00377E00"/>
    <w:rsid w:val="003A5042"/>
    <w:rsid w:val="003A7EFE"/>
    <w:rsid w:val="003B4B2D"/>
    <w:rsid w:val="0043582B"/>
    <w:rsid w:val="00444DB2"/>
    <w:rsid w:val="00467A9B"/>
    <w:rsid w:val="0048780B"/>
    <w:rsid w:val="0049156D"/>
    <w:rsid w:val="004A1E50"/>
    <w:rsid w:val="004E03EE"/>
    <w:rsid w:val="004E5748"/>
    <w:rsid w:val="0052589F"/>
    <w:rsid w:val="00596B17"/>
    <w:rsid w:val="005A1AF4"/>
    <w:rsid w:val="005D0269"/>
    <w:rsid w:val="005E60B5"/>
    <w:rsid w:val="00602359"/>
    <w:rsid w:val="00611672"/>
    <w:rsid w:val="006407EA"/>
    <w:rsid w:val="00645BC2"/>
    <w:rsid w:val="0065257C"/>
    <w:rsid w:val="0065340B"/>
    <w:rsid w:val="00656460"/>
    <w:rsid w:val="006848E8"/>
    <w:rsid w:val="006922C9"/>
    <w:rsid w:val="00696046"/>
    <w:rsid w:val="00721939"/>
    <w:rsid w:val="007273FE"/>
    <w:rsid w:val="0073301C"/>
    <w:rsid w:val="0077342D"/>
    <w:rsid w:val="007A6E8B"/>
    <w:rsid w:val="007B686D"/>
    <w:rsid w:val="007D15C1"/>
    <w:rsid w:val="007E4754"/>
    <w:rsid w:val="008311D7"/>
    <w:rsid w:val="00872406"/>
    <w:rsid w:val="00881DCA"/>
    <w:rsid w:val="00897787"/>
    <w:rsid w:val="008B640E"/>
    <w:rsid w:val="008F060D"/>
    <w:rsid w:val="008F1642"/>
    <w:rsid w:val="00927646"/>
    <w:rsid w:val="00962A42"/>
    <w:rsid w:val="009A14F2"/>
    <w:rsid w:val="009B6D41"/>
    <w:rsid w:val="00A04F96"/>
    <w:rsid w:val="00A11CE5"/>
    <w:rsid w:val="00A40269"/>
    <w:rsid w:val="00A7029F"/>
    <w:rsid w:val="00AC015E"/>
    <w:rsid w:val="00AE063A"/>
    <w:rsid w:val="00AF0AB1"/>
    <w:rsid w:val="00B04898"/>
    <w:rsid w:val="00B21281"/>
    <w:rsid w:val="00B310E9"/>
    <w:rsid w:val="00B4629F"/>
    <w:rsid w:val="00B80720"/>
    <w:rsid w:val="00B9166A"/>
    <w:rsid w:val="00B92BEA"/>
    <w:rsid w:val="00BA34F9"/>
    <w:rsid w:val="00BE05C7"/>
    <w:rsid w:val="00BE5ED3"/>
    <w:rsid w:val="00C32BAD"/>
    <w:rsid w:val="00C34060"/>
    <w:rsid w:val="00C34FDC"/>
    <w:rsid w:val="00C55FAD"/>
    <w:rsid w:val="00C827FD"/>
    <w:rsid w:val="00CA12F7"/>
    <w:rsid w:val="00CB29CF"/>
    <w:rsid w:val="00CB45D8"/>
    <w:rsid w:val="00CB7176"/>
    <w:rsid w:val="00CD48BC"/>
    <w:rsid w:val="00CD5549"/>
    <w:rsid w:val="00CD6489"/>
    <w:rsid w:val="00D02AF6"/>
    <w:rsid w:val="00D06D68"/>
    <w:rsid w:val="00D3228F"/>
    <w:rsid w:val="00D34E20"/>
    <w:rsid w:val="00D741AB"/>
    <w:rsid w:val="00D92F22"/>
    <w:rsid w:val="00DD7E37"/>
    <w:rsid w:val="00DE0FF1"/>
    <w:rsid w:val="00E54076"/>
    <w:rsid w:val="00E64C3D"/>
    <w:rsid w:val="00EA618F"/>
    <w:rsid w:val="00F00C98"/>
    <w:rsid w:val="00F227EC"/>
    <w:rsid w:val="00F4649F"/>
    <w:rsid w:val="00F64FF8"/>
    <w:rsid w:val="00F91F64"/>
    <w:rsid w:val="00FD4215"/>
    <w:rsid w:val="00FE45EC"/>
    <w:rsid w:val="036A0956"/>
    <w:rsid w:val="04482858"/>
    <w:rsid w:val="04C92558"/>
    <w:rsid w:val="086B729F"/>
    <w:rsid w:val="0A470A2E"/>
    <w:rsid w:val="0CDE51D0"/>
    <w:rsid w:val="0F7A7DF8"/>
    <w:rsid w:val="16492233"/>
    <w:rsid w:val="197049D1"/>
    <w:rsid w:val="1AF97A4F"/>
    <w:rsid w:val="1B9955E7"/>
    <w:rsid w:val="233F6D16"/>
    <w:rsid w:val="262E3AAE"/>
    <w:rsid w:val="265A1BDD"/>
    <w:rsid w:val="2CB83B33"/>
    <w:rsid w:val="2FB819C7"/>
    <w:rsid w:val="38C07935"/>
    <w:rsid w:val="3C5B2C10"/>
    <w:rsid w:val="53972A0E"/>
    <w:rsid w:val="557260F8"/>
    <w:rsid w:val="5C7F6083"/>
    <w:rsid w:val="5CB933AA"/>
    <w:rsid w:val="5EAD46A1"/>
    <w:rsid w:val="60E112F3"/>
    <w:rsid w:val="632F2E8E"/>
    <w:rsid w:val="66070D82"/>
    <w:rsid w:val="6C1644C8"/>
    <w:rsid w:val="7CDD7C36"/>
    <w:rsid w:val="7DDD4202"/>
    <w:rsid w:val="7DFF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rPr>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16"/>
      <w:szCs w:val="16"/>
    </w:rPr>
  </w:style>
  <w:style w:type="character" w:customStyle="1" w:styleId="12">
    <w:name w:val="页眉 字符"/>
    <w:basedOn w:val="10"/>
    <w:link w:val="5"/>
    <w:semiHidden/>
    <w:qFormat/>
    <w:uiPriority w:val="99"/>
    <w:rPr>
      <w:rFonts w:asciiTheme="minorHAnsi" w:hAnsiTheme="minorHAnsi" w:eastAsiaTheme="minorEastAsia" w:cstheme="minorBidi"/>
      <w:kern w:val="2"/>
      <w:sz w:val="18"/>
      <w:szCs w:val="18"/>
    </w:rPr>
  </w:style>
  <w:style w:type="character" w:customStyle="1" w:styleId="13">
    <w:name w:val="页脚 字符"/>
    <w:basedOn w:val="10"/>
    <w:link w:val="4"/>
    <w:semiHidden/>
    <w:qFormat/>
    <w:uiPriority w:val="99"/>
    <w:rPr>
      <w:rFonts w:asciiTheme="minorHAnsi" w:hAnsiTheme="minorHAnsi" w:eastAsiaTheme="minorEastAsia" w:cstheme="minorBidi"/>
      <w:kern w:val="2"/>
      <w:sz w:val="18"/>
      <w:szCs w:val="18"/>
    </w:rPr>
  </w:style>
  <w:style w:type="character" w:customStyle="1" w:styleId="14">
    <w:name w:val="批注框文本 字符"/>
    <w:basedOn w:val="10"/>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current01"/>
    <w:basedOn w:val="10"/>
    <w:qFormat/>
    <w:uiPriority w:val="0"/>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8">
    <w:name w:val="NormalCharacter"/>
    <w:semiHidden/>
    <w:qFormat/>
    <w:uiPriority w:val="0"/>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0"/>
    <w:link w:val="2"/>
    <w:semiHidden/>
    <w:qFormat/>
    <w:uiPriority w:val="99"/>
    <w:rPr>
      <w:rFonts w:asciiTheme="minorHAnsi" w:hAnsiTheme="minorHAnsi" w:eastAsiaTheme="minorEastAsia" w:cstheme="minorBidi"/>
      <w:kern w:val="2"/>
    </w:rPr>
  </w:style>
  <w:style w:type="character" w:customStyle="1" w:styleId="21">
    <w:name w:val="批注主题 字符"/>
    <w:basedOn w:val="20"/>
    <w:link w:val="7"/>
    <w:semiHidden/>
    <w:qFormat/>
    <w:uiPriority w:val="99"/>
    <w:rPr>
      <w:rFonts w:asciiTheme="minorHAnsi" w:hAnsiTheme="minorHAnsi" w:eastAsiaTheme="minorEastAsia" w:cstheme="minorBidi"/>
      <w:b/>
      <w:bCs/>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9B1AB-9BF6-4726-AA78-7580C946379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631</Words>
  <Characters>3599</Characters>
  <Lines>29</Lines>
  <Paragraphs>8</Paragraphs>
  <TotalTime>15</TotalTime>
  <ScaleCrop>false</ScaleCrop>
  <LinksUpToDate>false</LinksUpToDate>
  <CharactersWithSpaces>4222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2021-09-10T15:59:00Z</dcterms:created>
  <dc:creator>admin</dc:creator>
  <cp:lastModifiedBy>孙月琳</cp:lastModifiedBy>
  <dcterms:modified xsi:type="dcterms:W3CDTF">2021-09-11T07:19:19Z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7D8B17F06E9F45DB961BDA925AFC8085</vt:lpwstr>
  </property>
</Properties>
</file>